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6B2" w14:textId="77777777" w:rsidR="009E06E4" w:rsidRPr="009E06E4" w:rsidRDefault="009E06E4" w:rsidP="009E06E4">
      <w:pPr>
        <w:jc w:val="right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projekt z dnia 21.04.2026 r.</w:t>
      </w:r>
    </w:p>
    <w:p w14:paraId="71B33A0D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03C6F831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UCHWAŁA Nr XXVIII/............/26</w:t>
      </w:r>
    </w:p>
    <w:p w14:paraId="032C1FD5" w14:textId="45A17E56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Rady Miasta i Gminy Czerniejewo</w:t>
      </w:r>
    </w:p>
    <w:p w14:paraId="4ECDF26A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z dnia 29 kwietnia 2026 r.</w:t>
      </w:r>
    </w:p>
    <w:p w14:paraId="4DD9A3A7" w14:textId="77777777" w:rsidR="009E06E4" w:rsidRPr="009E06E4" w:rsidRDefault="009E06E4" w:rsidP="009E06E4">
      <w:pPr>
        <w:jc w:val="both"/>
        <w:rPr>
          <w:rFonts w:ascii="Times New Roman" w:hAnsi="Times New Roman" w:cs="Times New Roman"/>
          <w:b/>
          <w:bCs/>
        </w:rPr>
      </w:pPr>
      <w:r w:rsidRPr="009E06E4">
        <w:rPr>
          <w:rFonts w:ascii="Times New Roman" w:hAnsi="Times New Roman" w:cs="Times New Roman"/>
        </w:rPr>
        <w:t xml:space="preserve">w sprawie zmiany Wieloletniej Prognozy Finansowej Miasta </w:t>
      </w:r>
      <w:r w:rsidRPr="009E06E4">
        <w:rPr>
          <w:rFonts w:ascii="Times New Roman" w:hAnsi="Times New Roman" w:cs="Times New Roman"/>
        </w:rPr>
        <w:br/>
        <w:t>i Gminy Czerniejewo na lata 2026-2036</w:t>
      </w:r>
    </w:p>
    <w:p w14:paraId="316811AA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Na podstawie art. 232 ustawy z dnia 27 sierpnia 2009 roku o finansach publicznych (Dz. U. z 2025 poz.1483 ze zm.) Rada Miasta i Gminy Czerniejewo uchwala, co następuje:</w:t>
      </w:r>
    </w:p>
    <w:p w14:paraId="007A71FD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7473B878" w14:textId="3006EEBF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§1.</w:t>
      </w:r>
      <w:r w:rsidRPr="009E06E4">
        <w:rPr>
          <w:rFonts w:ascii="Times New Roman" w:hAnsi="Times New Roman" w:cs="Times New Roman"/>
        </w:rPr>
        <w:tab/>
        <w:t>W uchwale nr XXIV/149/25 Rady Miasta i Gminy Czerniejewo z dnia 29 grudnia 2025 r. zmienionej Uchwałą Nr XXVI/163/26 z dnia 25 lutego 2026 r.</w:t>
      </w:r>
      <w:r>
        <w:rPr>
          <w:rFonts w:ascii="Times New Roman" w:hAnsi="Times New Roman" w:cs="Times New Roman"/>
        </w:rPr>
        <w:t xml:space="preserve"> </w:t>
      </w:r>
      <w:r w:rsidRPr="009E06E4">
        <w:rPr>
          <w:rFonts w:ascii="Times New Roman" w:hAnsi="Times New Roman" w:cs="Times New Roman"/>
        </w:rPr>
        <w:t>oraz Uchwałą Nr XXVII/175/26 z dnia 25 marca 2026 r.</w:t>
      </w:r>
      <w:r>
        <w:rPr>
          <w:rFonts w:ascii="Times New Roman" w:hAnsi="Times New Roman" w:cs="Times New Roman"/>
        </w:rPr>
        <w:t xml:space="preserve"> </w:t>
      </w:r>
      <w:r w:rsidRPr="009E06E4">
        <w:rPr>
          <w:rFonts w:ascii="Times New Roman" w:hAnsi="Times New Roman" w:cs="Times New Roman"/>
        </w:rPr>
        <w:t>wprowadza się następujące zmiany:</w:t>
      </w:r>
    </w:p>
    <w:p w14:paraId="1678D154" w14:textId="77777777" w:rsidR="009E06E4" w:rsidRPr="009E06E4" w:rsidRDefault="009E06E4" w:rsidP="009E06E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Załącznik nr 1 – Wieloletnia Prognoza Finansowa Gminy Czerniejewo na lata 2026-2036 otrzymuje brzmienie załącznika nr 1 do uchwały;</w:t>
      </w:r>
    </w:p>
    <w:p w14:paraId="7AEB79BC" w14:textId="0F2F5A6C" w:rsidR="009E06E4" w:rsidRPr="009E06E4" w:rsidRDefault="009E06E4" w:rsidP="009E06E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 xml:space="preserve"> Załącznik Nr 2 stanowiącym o przedsięwzięciach otrzymuje brzmienie załącznika </w:t>
      </w:r>
      <w:r w:rsidRPr="009E06E4">
        <w:rPr>
          <w:rFonts w:ascii="Times New Roman" w:hAnsi="Times New Roman" w:cs="Times New Roman"/>
        </w:rPr>
        <w:br/>
        <w:t>nr 2 do uchwały;</w:t>
      </w:r>
    </w:p>
    <w:p w14:paraId="36AA1B0E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§2.</w:t>
      </w:r>
      <w:r w:rsidRPr="009E06E4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36DCC85F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§3.</w:t>
      </w:r>
      <w:r w:rsidRPr="009E06E4">
        <w:rPr>
          <w:rFonts w:ascii="Times New Roman" w:hAnsi="Times New Roman" w:cs="Times New Roman"/>
        </w:rPr>
        <w:tab/>
        <w:t>Uchwała wchodzi w życie z dniem podjęcia.</w:t>
      </w:r>
    </w:p>
    <w:p w14:paraId="4EFFA7A6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40CF5B8E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6DF81EAA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62BD55EB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14960372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5A0EF58B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0AEEBA21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0367354C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297445A8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6CA0F57A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75F6330B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</w:p>
    <w:p w14:paraId="0111123A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lastRenderedPageBreak/>
        <w:t>UZASADNIENIE</w:t>
      </w:r>
    </w:p>
    <w:p w14:paraId="06F4FDD6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do Uchwały Nr XXVIII/............/26</w:t>
      </w:r>
    </w:p>
    <w:p w14:paraId="7FBAA825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Rady Miasta i Gminy Czerniejewo</w:t>
      </w:r>
    </w:p>
    <w:p w14:paraId="36D1A1FE" w14:textId="77777777" w:rsidR="009E06E4" w:rsidRPr="009E06E4" w:rsidRDefault="009E06E4" w:rsidP="009E06E4">
      <w:pPr>
        <w:jc w:val="center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z dnia 29 kwietnia 2026 r.</w:t>
      </w:r>
    </w:p>
    <w:p w14:paraId="234069F6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ab/>
      </w:r>
    </w:p>
    <w:p w14:paraId="792DD04A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ab/>
        <w:t xml:space="preserve">Zgodnie z zapisem art.229 ustawy o finansach publicznych wartości przyjęte </w:t>
      </w:r>
      <w:r w:rsidRPr="009E06E4">
        <w:rPr>
          <w:rFonts w:ascii="Times New Roman" w:hAnsi="Times New Roman" w:cs="Times New Roman"/>
        </w:rPr>
        <w:br/>
        <w:t xml:space="preserve">w wieloletniej prognozie finansowej i budżecie jednostki samorządu terytorialnego powinny być zgodne co najmniej w zakresie wyniku budżetu i związanych z nim kwot przychodów </w:t>
      </w:r>
      <w:r w:rsidRPr="009E06E4">
        <w:rPr>
          <w:rFonts w:ascii="Times New Roman" w:hAnsi="Times New Roman" w:cs="Times New Roman"/>
        </w:rPr>
        <w:br/>
        <w:t>i rozchodów oraz kwoty długu jednostki samorządu terytorialnego.</w:t>
      </w:r>
    </w:p>
    <w:p w14:paraId="6D9CA37C" w14:textId="26AC8B0C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Wprowadzone zmiany do budżetu nie rodzą kon</w:t>
      </w:r>
      <w:r>
        <w:rPr>
          <w:rFonts w:ascii="Times New Roman" w:hAnsi="Times New Roman" w:cs="Times New Roman"/>
        </w:rPr>
        <w:t>i</w:t>
      </w:r>
      <w:r w:rsidRPr="009E06E4">
        <w:rPr>
          <w:rFonts w:ascii="Times New Roman" w:hAnsi="Times New Roman" w:cs="Times New Roman"/>
        </w:rPr>
        <w:t>eczności sporządzenia WPF,</w:t>
      </w:r>
    </w:p>
    <w:p w14:paraId="2D38CEF3" w14:textId="4FB74A12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  <w:r w:rsidRPr="009E06E4">
        <w:rPr>
          <w:rFonts w:ascii="Times New Roman" w:hAnsi="Times New Roman" w:cs="Times New Roman"/>
        </w:rPr>
        <w:t>jednakże w związku z wprowadzeniem nowego przedsięwzięcia pn. "Budowa ścieżek rowerowych w Gminie Czerniejewo etap III", którego realizację planuje się na rok 2028 zaistniała konieczność wprow</w:t>
      </w:r>
      <w:r>
        <w:rPr>
          <w:rFonts w:ascii="Times New Roman" w:hAnsi="Times New Roman" w:cs="Times New Roman"/>
        </w:rPr>
        <w:t>a</w:t>
      </w:r>
      <w:r w:rsidRPr="009E06E4">
        <w:rPr>
          <w:rFonts w:ascii="Times New Roman" w:hAnsi="Times New Roman" w:cs="Times New Roman"/>
        </w:rPr>
        <w:t>dzenia stosownych zapisów w WPF na lata 2026-2036.</w:t>
      </w:r>
    </w:p>
    <w:p w14:paraId="77680057" w14:textId="77777777" w:rsidR="009E06E4" w:rsidRPr="009E06E4" w:rsidRDefault="009E06E4" w:rsidP="009E06E4">
      <w:pPr>
        <w:jc w:val="both"/>
        <w:rPr>
          <w:rFonts w:ascii="Times New Roman" w:hAnsi="Times New Roman" w:cs="Times New Roman"/>
        </w:rPr>
      </w:pPr>
    </w:p>
    <w:p w14:paraId="7EF6174B" w14:textId="77777777" w:rsidR="004B03BC" w:rsidRDefault="004B03BC"/>
    <w:sectPr w:rsidR="004B03BC" w:rsidSect="009E06E4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48944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E4"/>
    <w:rsid w:val="002909C7"/>
    <w:rsid w:val="004B03BC"/>
    <w:rsid w:val="009E06E4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035C"/>
  <w15:chartTrackingRefBased/>
  <w15:docId w15:val="{9A92AE06-CB00-440B-9C92-A91AC5F6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1</cp:revision>
  <dcterms:created xsi:type="dcterms:W3CDTF">2026-04-21T10:34:00Z</dcterms:created>
  <dcterms:modified xsi:type="dcterms:W3CDTF">2026-04-21T10:35:00Z</dcterms:modified>
</cp:coreProperties>
</file>