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F1C4" w14:textId="77777777" w:rsidR="00B9666E" w:rsidRPr="00B9666E" w:rsidRDefault="00B9666E" w:rsidP="00B9666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9666E">
        <w:rPr>
          <w:rFonts w:ascii="Times New Roman" w:hAnsi="Times New Roman" w:cs="Times New Roman"/>
          <w:b/>
          <w:bCs/>
          <w:sz w:val="22"/>
          <w:szCs w:val="22"/>
        </w:rPr>
        <w:t>Objaśnienia przyjętych wartości do Wieloletniej Prognozy Finansowej Gminy Czerniejewo na lata 2026-2036</w:t>
      </w:r>
    </w:p>
    <w:p w14:paraId="0162A30E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Zgodnie ze zmianami w budżecie na dzień 29 kwietnia 2026 r., dokonano następujących zmian w Wieloletniej Prognozie Finansowej Gminy Czerniejewo:</w:t>
      </w:r>
    </w:p>
    <w:p w14:paraId="40160210" w14:textId="77777777" w:rsidR="00B9666E" w:rsidRPr="00B9666E" w:rsidRDefault="00B9666E" w:rsidP="00B9666E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Dochody ogółem zwiększono o 564 142,26 zł, z czego dochody bieżące zwiększono o 572 631,30 zł, a dochody majątkowe zmniejszono o 8 489,04 zł.</w:t>
      </w:r>
    </w:p>
    <w:p w14:paraId="2759FF93" w14:textId="77777777" w:rsidR="00B9666E" w:rsidRPr="00B9666E" w:rsidRDefault="00B9666E" w:rsidP="00B9666E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Wydatki ogółem zwiększono o 564 142,26 zł, z czego wydatki bieżące zwiększono o 665 296,79 zł, a wydatki majątkowe zmniejszono o 101 154,53 zł.</w:t>
      </w:r>
    </w:p>
    <w:p w14:paraId="42AE6E96" w14:textId="77777777" w:rsidR="00B9666E" w:rsidRPr="00B9666E" w:rsidRDefault="00B9666E" w:rsidP="00B9666E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Wynik budżetu nie uległ zmianie.</w:t>
      </w:r>
    </w:p>
    <w:p w14:paraId="38D55592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Szczegółowe informacje na temat zmian w zakresie dochodów, wydatków i wyniku budżetu w roku budżetowym przedstawiono w tabeli poniżej.</w:t>
      </w:r>
    </w:p>
    <w:p w14:paraId="6B409D26" w14:textId="77777777" w:rsidR="00B9666E" w:rsidRPr="00B9666E" w:rsidRDefault="00B9666E" w:rsidP="00B9666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9666E">
        <w:rPr>
          <w:rFonts w:ascii="Times New Roman" w:hAnsi="Times New Roman" w:cs="Times New Roman"/>
          <w:b/>
          <w:bCs/>
          <w:sz w:val="22"/>
          <w:szCs w:val="22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B9666E" w:rsidRPr="00B9666E" w14:paraId="00AA41EC" w14:textId="77777777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B637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15C0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250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CF8E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 zmianie [zł]</w:t>
            </w:r>
          </w:p>
        </w:tc>
      </w:tr>
      <w:tr w:rsidR="00B9666E" w:rsidRPr="00B9666E" w14:paraId="64B18A2D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B37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Dochody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2476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58 195 527,06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B32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+564 142,26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6B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58 759 669,32</w:t>
            </w:r>
          </w:p>
        </w:tc>
      </w:tr>
      <w:tr w:rsidR="00B9666E" w:rsidRPr="00B9666E" w14:paraId="094111CE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BCD0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Dochody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309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51 694 091,22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A6BD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+572 631,30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55A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52 266 722,52</w:t>
            </w:r>
          </w:p>
        </w:tc>
      </w:tr>
      <w:tr w:rsidR="00B9666E" w:rsidRPr="00B9666E" w14:paraId="10FB92A0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B92B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Subwencja ogólna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7C56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10 850 032,00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E7A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+2 787,00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79D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10 852 819,00</w:t>
            </w:r>
          </w:p>
        </w:tc>
      </w:tr>
      <w:tr w:rsidR="00B9666E" w:rsidRPr="00B9666E" w14:paraId="4C347FE9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DA2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Dotacje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A9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4 755 900,42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02A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+371 611,28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D3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5 127 511,70</w:t>
            </w:r>
          </w:p>
        </w:tc>
      </w:tr>
      <w:tr w:rsidR="00B9666E" w:rsidRPr="00B9666E" w14:paraId="510B1603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D25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Pozostałe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390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13 286 214,80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45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+198 233,02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650A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13 484 447,82</w:t>
            </w:r>
          </w:p>
        </w:tc>
      </w:tr>
      <w:tr w:rsidR="00B9666E" w:rsidRPr="00B9666E" w14:paraId="6507C29D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41B7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Podatek od nieruchomości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CE0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4 624 126,00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730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+176 345,05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950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4 800 471,05</w:t>
            </w:r>
          </w:p>
        </w:tc>
      </w:tr>
      <w:tr w:rsidR="00B9666E" w:rsidRPr="00B9666E" w14:paraId="3D63D031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5D8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Dochody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667E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6 501 435,84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F8A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-8 489,04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AB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6 492 946,80</w:t>
            </w:r>
          </w:p>
        </w:tc>
      </w:tr>
      <w:tr w:rsidR="00B9666E" w:rsidRPr="00B9666E" w14:paraId="3A92190C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D1B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Wydatki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4E7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63 164 609,82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F3E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+564 142,26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12D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63 728 752,08</w:t>
            </w:r>
          </w:p>
        </w:tc>
      </w:tr>
      <w:tr w:rsidR="00B9666E" w:rsidRPr="00B9666E" w14:paraId="203D767E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685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8E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50 391 659,46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051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+665 296,79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43A2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51 056 956,25</w:t>
            </w:r>
          </w:p>
        </w:tc>
      </w:tr>
      <w:tr w:rsidR="00B9666E" w:rsidRPr="00B9666E" w14:paraId="0D59FB42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950A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Wynagrodzenia i pochodne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959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29 243 586,61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D6E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+33 384,88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A72C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29 276 971,49</w:t>
            </w:r>
          </w:p>
        </w:tc>
      </w:tr>
      <w:tr w:rsidR="00B9666E" w:rsidRPr="00B9666E" w14:paraId="5E688242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643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Pozostałe 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A68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20 826 982,85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8E1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+631 911,91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6A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21 458 894,76</w:t>
            </w:r>
          </w:p>
        </w:tc>
      </w:tr>
      <w:tr w:rsidR="00B9666E" w:rsidRPr="00B9666E" w14:paraId="45A3525E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3CD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Wydatki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C9E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12 772 950,36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9B7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-101 154,53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B20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12 671 795,83</w:t>
            </w:r>
          </w:p>
        </w:tc>
      </w:tr>
    </w:tbl>
    <w:p w14:paraId="259BAE86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Źródło: opracowanie własne.</w:t>
      </w:r>
    </w:p>
    <w:p w14:paraId="6083245E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Od 2027 r. nie dokonywano zmian w zakresie planowanych dochodów i wydatków budżetowych.</w:t>
      </w:r>
    </w:p>
    <w:p w14:paraId="22171440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lastRenderedPageBreak/>
        <w:t>W Wieloletniej Prognozie Finansowej Gminy Czerniejewo:</w:t>
      </w:r>
    </w:p>
    <w:p w14:paraId="6A709684" w14:textId="77777777" w:rsidR="00B9666E" w:rsidRPr="00B9666E" w:rsidRDefault="00B9666E" w:rsidP="00B9666E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Przychody ogółem w roku budżetowym nie uległy zmianie.</w:t>
      </w:r>
    </w:p>
    <w:p w14:paraId="7C4B39CA" w14:textId="77777777" w:rsidR="00B9666E" w:rsidRPr="00B9666E" w:rsidRDefault="00B9666E" w:rsidP="00B9666E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Rozchody ogółem w roku budżetowym nie uległy zmianie.</w:t>
      </w:r>
    </w:p>
    <w:p w14:paraId="6CF4F38A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Od 2027 nie dokonywano zmian w zakresie planowanych przychodów.</w:t>
      </w:r>
    </w:p>
    <w:p w14:paraId="0C2FEA66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Od 2027 nie dokonywano zmian w zakresie planowanych rozchodów.</w:t>
      </w:r>
    </w:p>
    <w:p w14:paraId="254008DF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W zakresie zawartych umów, rozchody Gminy Czerniejewo zaplanowano zgodnie z harmonogramami. W tabeli poniżej spłatę ww. zobowiązań przedstawiono w kolumnie „Zobowiązanie historyczne”.</w:t>
      </w:r>
    </w:p>
    <w:p w14:paraId="24A1273C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Spłatę zobowiązania planowanego do zaciągnięcia ujęto w latach 2027-2036. W tabeli poniżej spłatę ww. zobowiązań przedstawiono w kolumnie „Zobowiązanie planowane”.</w:t>
      </w:r>
    </w:p>
    <w:p w14:paraId="556AE291" w14:textId="77777777" w:rsidR="00B9666E" w:rsidRPr="00B9666E" w:rsidRDefault="00B9666E" w:rsidP="00B9666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9666E">
        <w:rPr>
          <w:rFonts w:ascii="Times New Roman" w:hAnsi="Times New Roman" w:cs="Times New Roman"/>
          <w:b/>
          <w:bCs/>
          <w:sz w:val="22"/>
          <w:szCs w:val="22"/>
        </w:rPr>
        <w:t>Spłata zaciągniętych i planowanych zobowiązań Gminy Czerniejewo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028"/>
        <w:gridCol w:w="2058"/>
        <w:gridCol w:w="2058"/>
        <w:gridCol w:w="2056"/>
      </w:tblGrid>
      <w:tr w:rsidR="00B9666E" w:rsidRPr="00B9666E" w14:paraId="2BE87A23" w14:textId="77777777">
        <w:trPr>
          <w:tblHeader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03E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ECA7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Zobowiązanie historyczne [zł]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8A00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Zobowiązanie planowane [zł]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458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Zobowiązania razem [zł]</w:t>
            </w:r>
          </w:p>
        </w:tc>
      </w:tr>
      <w:tr w:rsidR="00B9666E" w:rsidRPr="00B9666E" w14:paraId="761BA339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6636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2C2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1 054 237,89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EB6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149D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1 054 237,89</w:t>
            </w:r>
          </w:p>
        </w:tc>
      </w:tr>
      <w:tr w:rsidR="00B9666E" w:rsidRPr="00B9666E" w14:paraId="397E5870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9E5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72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8F8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640 000,00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877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940 000,00</w:t>
            </w:r>
          </w:p>
        </w:tc>
      </w:tr>
      <w:tr w:rsidR="00B9666E" w:rsidRPr="00B9666E" w14:paraId="3213C473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9EB9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77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5BF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640 000,00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3A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940 000,00</w:t>
            </w:r>
          </w:p>
        </w:tc>
      </w:tr>
      <w:tr w:rsidR="00B9666E" w:rsidRPr="00B9666E" w14:paraId="09A76B60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34A3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284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2E8A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640 000,00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2E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940 000,00</w:t>
            </w:r>
          </w:p>
        </w:tc>
      </w:tr>
      <w:tr w:rsidR="00B9666E" w:rsidRPr="00B9666E" w14:paraId="7DF7BB78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F679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D6D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D6F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640 000,00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E95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940 000,00</w:t>
            </w:r>
          </w:p>
        </w:tc>
      </w:tr>
      <w:tr w:rsidR="00B9666E" w:rsidRPr="00B9666E" w14:paraId="0E894A09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D704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87FF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2FC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640 000,00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E5F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940 000,00</w:t>
            </w:r>
          </w:p>
        </w:tc>
      </w:tr>
      <w:tr w:rsidR="00B9666E" w:rsidRPr="00B9666E" w14:paraId="5F533991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BEF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04D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D09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640 000,00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4104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940 000,00</w:t>
            </w:r>
          </w:p>
        </w:tc>
      </w:tr>
      <w:tr w:rsidR="00B9666E" w:rsidRPr="00B9666E" w14:paraId="5108955E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5BCD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7F11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401 190,00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A6D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320 000,00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3CB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721 190,00</w:t>
            </w:r>
          </w:p>
        </w:tc>
      </w:tr>
      <w:tr w:rsidR="00B9666E" w:rsidRPr="00B9666E" w14:paraId="37AC3E49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2345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EC0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99D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760 000,00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AA04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760 000,00</w:t>
            </w:r>
          </w:p>
        </w:tc>
      </w:tr>
      <w:tr w:rsidR="00B9666E" w:rsidRPr="00B9666E" w14:paraId="19769395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079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468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E04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760 000,00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426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760 000,00</w:t>
            </w:r>
          </w:p>
        </w:tc>
      </w:tr>
      <w:tr w:rsidR="00B9666E" w:rsidRPr="00B9666E" w14:paraId="5C9746B3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8202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07C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F55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343 320,65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810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343 320,65</w:t>
            </w:r>
          </w:p>
        </w:tc>
      </w:tr>
    </w:tbl>
    <w:p w14:paraId="32802F8C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Źródło: Opracowanie własne.</w:t>
      </w:r>
    </w:p>
    <w:p w14:paraId="7AACE4A0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Zmiany w Wieloletniej Prognozie Finansowej Gminy Czerniejewo na lata 2026-2036 spowodowały modyfikacje w kształtowaniu się relacji z art. 243 ustawy o finansach publicznych. Szczegóły zaprezentowano w tabeli poniżej.</w:t>
      </w:r>
    </w:p>
    <w:p w14:paraId="3803ECBC" w14:textId="77777777" w:rsidR="00B9666E" w:rsidRDefault="00B9666E" w:rsidP="00B966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E88D7F" w14:textId="77777777" w:rsidR="00B9666E" w:rsidRDefault="00B9666E" w:rsidP="00B966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D9ED96B" w14:textId="77777777" w:rsidR="00B9666E" w:rsidRDefault="00B9666E" w:rsidP="00B966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C2E1DA7" w14:textId="77777777" w:rsidR="00B9666E" w:rsidRDefault="00B9666E" w:rsidP="00B966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5CBB500" w14:textId="7207B16A" w:rsidR="00B9666E" w:rsidRPr="00B9666E" w:rsidRDefault="00B9666E" w:rsidP="00B9666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9666E">
        <w:rPr>
          <w:rFonts w:ascii="Times New Roman" w:hAnsi="Times New Roman" w:cs="Times New Roman"/>
          <w:b/>
          <w:bCs/>
          <w:sz w:val="22"/>
          <w:szCs w:val="22"/>
        </w:rPr>
        <w:lastRenderedPageBreak/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655"/>
        <w:gridCol w:w="1309"/>
        <w:gridCol w:w="1309"/>
        <w:gridCol w:w="1309"/>
        <w:gridCol w:w="1309"/>
        <w:gridCol w:w="1309"/>
      </w:tblGrid>
      <w:tr w:rsidR="00B9666E" w:rsidRPr="00B9666E" w14:paraId="3B3AA4C4" w14:textId="7777777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9FB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1A8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Obsługa zadłużenia (fakt. i plan. po </w:t>
            </w:r>
            <w:proofErr w:type="spellStart"/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wyłączeniach</w:t>
            </w:r>
            <w:proofErr w:type="spellEnd"/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899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Maksymalna obsługa zadłużenia (wg planu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99C3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Zachowanie relacji z art. 243 (w oparciu o plan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20E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Maksymalna obsługa zadłużenia (wg wykonania)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F995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Zachowanie relacji z art. 243 (w oparciu o wykonanie)</w:t>
            </w:r>
          </w:p>
        </w:tc>
      </w:tr>
      <w:tr w:rsidR="00B9666E" w:rsidRPr="00B9666E" w14:paraId="0B8249E8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2A9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86F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2,92%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AF50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14,00%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406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A5A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14,14%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762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0CEC79CB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0D8B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532E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2,73%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E2B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12,11%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E8D0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29BD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12,25%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7A6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0EC815AD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1618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D2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2,57%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9E4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10,02%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DC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876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10,16%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270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4AEC77EF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5029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53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2,41%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46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8,08%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625E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B8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8,22%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2252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5194ABD3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E4FD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D9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2,27%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A86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6,42%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5F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0C0F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6,56%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16F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14F9B7F2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A8F3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04F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2,13%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E55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5,43%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A07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734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5,58%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75A2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61FFAE3C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E90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760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2,00%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84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4,64%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3CC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4114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4,78%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906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7E9EAA2D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670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D15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1,49%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82A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3,65%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8AE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7CF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3,65%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AACF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18905A25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7E87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66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1,45%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698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3,77%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70E2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45D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3,77%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8C12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787D2C57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B7B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86CF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1,37%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870B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3,92%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4A7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9478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3,92%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C94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B9666E" w:rsidRPr="00B9666E" w14:paraId="7CDF2777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F6BF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E204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0,59%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B33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4,05%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CB89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46D2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4,05%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076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</w:tbl>
    <w:p w14:paraId="17F9EFF4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Źródło: Opracowanie własne.</w:t>
      </w:r>
    </w:p>
    <w:p w14:paraId="6A771085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Dane w tabeli powyżej wskazują, że w całym okresie prognozy Gmina Czerniejewo spełnia relację, o której mowa w art. 243 ust. 1 ustawy o finansach publicznych. Spełnienie dotyczy zarówno relacji obliczonej na podstawie planu na dzień 30.09.2025 r. jak i w oparciu o dane z wykonania budżetu.</w:t>
      </w:r>
    </w:p>
    <w:p w14:paraId="74C1B6F3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Zmiana Wieloletniej Prognozy Finansowej Gminy Czerniejewo obejmuje również zmiany w załączniku nr 2, które szczegółowo opisano poniżej.</w:t>
      </w:r>
    </w:p>
    <w:p w14:paraId="4694730D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Do załącznika przedsięwzięć dodano następujące przedsięwzięcia:</w:t>
      </w:r>
    </w:p>
    <w:p w14:paraId="480E8D6B" w14:textId="77777777" w:rsidR="00B9666E" w:rsidRPr="00B9666E" w:rsidRDefault="00B9666E" w:rsidP="00B9666E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Budowa ścieżek rowerowych w Gminie Czerniejewo - etap III – zadanie majątkowe, które ma być realizowane w latach 2026-2028. Łączne nakłady planowane na realizację zadania wynoszą 1 349 017,63 zł, w tym w 2026 r. ‒ 0,00 zł. Limit zobowiązań dla zadania wynosi 0,00 zł. Jednostką realizującą jest Urząd Miasta i Gminy Czerniejewo.</w:t>
      </w:r>
    </w:p>
    <w:p w14:paraId="71541796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Zmiany wprowadzone w wykazie wieloletnich przedsięwzięć nie spowodowały zmiany horyzontu czasowego załącznika nr 2 WPF.</w:t>
      </w:r>
    </w:p>
    <w:p w14:paraId="4219CDE7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Zmiany wprowadzone w wykazie wieloletnich przedsięwzięć wpłynęły na zmianę pozycji 10.1.2 WPF, co przedstawiono w tabeli poniżej.</w:t>
      </w:r>
    </w:p>
    <w:p w14:paraId="72FCECDC" w14:textId="77777777" w:rsidR="00B9666E" w:rsidRPr="00B9666E" w:rsidRDefault="00B9666E" w:rsidP="00B9666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9666E">
        <w:rPr>
          <w:rFonts w:ascii="Times New Roman" w:hAnsi="Times New Roman" w:cs="Times New Roman"/>
          <w:b/>
          <w:bCs/>
          <w:sz w:val="22"/>
          <w:szCs w:val="22"/>
        </w:rPr>
        <w:lastRenderedPageBreak/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B9666E" w:rsidRPr="00B9666E" w14:paraId="384AC3C5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ADF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4D07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F4AA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F8B" w14:textId="77777777" w:rsidR="00B9666E" w:rsidRPr="00B9666E" w:rsidRDefault="00B9666E" w:rsidP="00B96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 zmianie [zł]</w:t>
            </w:r>
          </w:p>
        </w:tc>
      </w:tr>
      <w:tr w:rsidR="00B9666E" w:rsidRPr="00B9666E" w14:paraId="4C166BFA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222D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E860" w14:textId="77777777" w:rsidR="00B9666E" w:rsidRPr="00B9666E" w:rsidRDefault="00B9666E" w:rsidP="00B96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5E0E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+1 349 017,63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F4E2" w14:textId="77777777" w:rsidR="00B9666E" w:rsidRPr="00B9666E" w:rsidRDefault="00B9666E" w:rsidP="00B96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6E">
              <w:rPr>
                <w:rFonts w:ascii="Times New Roman" w:hAnsi="Times New Roman" w:cs="Times New Roman"/>
                <w:sz w:val="22"/>
                <w:szCs w:val="22"/>
              </w:rPr>
              <w:t>1 349 017,63</w:t>
            </w:r>
          </w:p>
        </w:tc>
      </w:tr>
    </w:tbl>
    <w:p w14:paraId="1339228D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Źródło: opracowanie własne.</w:t>
      </w:r>
    </w:p>
    <w:p w14:paraId="11EF2EB4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1FDF5AB4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  <w:r w:rsidRPr="00B9666E">
        <w:rPr>
          <w:rFonts w:ascii="Times New Roman" w:hAnsi="Times New Roman" w:cs="Times New Roman"/>
          <w:sz w:val="22"/>
          <w:szCs w:val="22"/>
        </w:rPr>
        <w:t>Pełen zakres zmian obrazują załączniki nr 1 i 2 do niniejszej uchwały.</w:t>
      </w:r>
    </w:p>
    <w:p w14:paraId="56A75E6A" w14:textId="77777777" w:rsidR="00B9666E" w:rsidRPr="00B9666E" w:rsidRDefault="00B9666E" w:rsidP="00B9666E">
      <w:pPr>
        <w:rPr>
          <w:rFonts w:ascii="Times New Roman" w:hAnsi="Times New Roman" w:cs="Times New Roman"/>
          <w:sz w:val="22"/>
          <w:szCs w:val="22"/>
        </w:rPr>
      </w:pPr>
    </w:p>
    <w:p w14:paraId="2CF6B705" w14:textId="77777777" w:rsidR="004B03BC" w:rsidRDefault="004B03BC"/>
    <w:sectPr w:rsidR="004B03BC" w:rsidSect="00B9666E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04007252">
    <w:abstractNumId w:val="0"/>
  </w:num>
  <w:num w:numId="2" w16cid:durableId="2021589394">
    <w:abstractNumId w:val="1"/>
  </w:num>
  <w:num w:numId="3" w16cid:durableId="150694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6E"/>
    <w:rsid w:val="000D6745"/>
    <w:rsid w:val="004B03BC"/>
    <w:rsid w:val="00B9666E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AB0D"/>
  <w15:chartTrackingRefBased/>
  <w15:docId w15:val="{D2B9AA45-ECEF-4D68-A7D0-CC3EFF5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6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6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6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66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66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6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6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Julita Rybak</cp:lastModifiedBy>
  <cp:revision>1</cp:revision>
  <dcterms:created xsi:type="dcterms:W3CDTF">2026-04-21T10:37:00Z</dcterms:created>
  <dcterms:modified xsi:type="dcterms:W3CDTF">2026-04-21T10:38:00Z</dcterms:modified>
</cp:coreProperties>
</file>