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14 stycznia 2026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.../.../26</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Miasta i Gminy Czerniejewo</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28 stycznia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uchwalenia Statutu Samorządu Mieszkańców Miasta Czerniejewo</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oraz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40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1990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gminnym (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poz.1153 ), po przeprowadzeniu konsultacji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mieszkańcami, Rada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 uchwala,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Uchwala się Statut Samorządu Mieszkańców Miasta Czerniejewo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brzmieniu stanowiącym załącznik 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Wykonanie uchwały powierza się Burmistrzowi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Traci moc uchwała Nr III/30/18 rady Miasta i Gminy Czerniejewo z dnia 27 grudnia 2018 r.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sprawie uchwalenia Statutu Samorządu Mieszkańców Miasta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sectPr>
          <w:footerReference w:type="default" r:id="rId4"/>
          <w:endnotePr>
            <w:numFmt w:val="decimal"/>
          </w:endnotePr>
          <w:pgSz w:w="11906" w:h="16838"/>
          <w:pgMar w:top="992" w:right="1020" w:bottom="992" w:left="1020" w:header="708" w:footer="708" w:gutter="0"/>
          <w:cols w:space="708"/>
          <w:docGrid w:linePitch="360"/>
        </w:sect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auto"/>
          <w:sz w:val="22"/>
          <w:u w:val="none"/>
        </w:rPr>
        <w:t>Uchwała wchodzi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życie po upływie 14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 od daty jej ogłoszenia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Dzienniku Urzędowym Województwa Wielkopolskiego.</w:t>
      </w:r>
    </w:p>
    <w:p w:rsidR="00A77B3E">
      <w:pPr>
        <w:keepNext/>
        <w:spacing w:before="120" w:after="120" w:line="360" w:lineRule="auto"/>
        <w:ind w:left="5998" w:right="0" w:firstLine="0"/>
        <w:jc w:val="left"/>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fldChar w:fldCharType="begin"/>
      </w:r>
      <w:r>
        <w:rPr>
          <w:rFonts w:ascii="Times New Roman" w:eastAsia="Times New Roman" w:hAnsi="Times New Roman" w:cs="Times New Roman"/>
          <w:b w:val="0"/>
          <w:i w:val="0"/>
          <w:caps w:val="0"/>
          <w:strike w:val="0"/>
          <w:color w:val="auto"/>
          <w:sz w:val="22"/>
          <w:u w:val="none"/>
        </w:rPr>
        <w:fldChar w:fldCharType="separate"/>
      </w:r>
      <w:r>
        <w:rPr>
          <w:rFonts w:ascii="Times New Roman" w:eastAsia="Times New Roman" w:hAnsi="Times New Roman" w:cs="Times New Roman"/>
          <w:b w:val="0"/>
          <w:i w:val="0"/>
          <w:caps w:val="0"/>
          <w:strike w:val="0"/>
          <w:color w:val="auto"/>
          <w:sz w:val="22"/>
          <w:u w:val="none"/>
        </w:rPr>
        <w:fldChar w:fldCharType="end"/>
      </w:r>
      <w:r>
        <w:rPr>
          <w:rFonts w:ascii="Times New Roman" w:eastAsia="Times New Roman" w:hAnsi="Times New Roman" w:cs="Times New Roman"/>
          <w:b w:val="0"/>
          <w:i w:val="0"/>
          <w:caps w:val="0"/>
          <w:strike w:val="0"/>
          <w:color w:val="auto"/>
          <w:sz w:val="22"/>
          <w:u w:val="none"/>
        </w:rPr>
        <w:t>Załącznik do uchwały nr .../.../26</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val="0"/>
          <w:i w:val="0"/>
          <w:caps w:val="0"/>
          <w:strike w:val="0"/>
          <w:color w:val="auto"/>
          <w:sz w:val="22"/>
          <w:u w:val="none"/>
        </w:rPr>
        <w:t>Rady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val="0"/>
          <w:i w:val="0"/>
          <w:caps w:val="0"/>
          <w:strike w:val="0"/>
          <w:color w:val="auto"/>
          <w:sz w:val="22"/>
          <w:u w:val="none"/>
        </w:rPr>
        <w:t>z dnia 28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stycznia 2026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trike w:val="0"/>
          <w:color w:val="auto"/>
          <w:sz w:val="22"/>
          <w:u w:val="none"/>
        </w:rPr>
        <w:t>Statut Samorządu Mieszkańców Miasta Czerniejewo</w:t>
      </w:r>
    </w:p>
    <w:p w:rsidR="00A77B3E">
      <w:pPr>
        <w:keepNext/>
        <w:spacing w:before="0" w:after="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caps w:val="0"/>
          <w:sz w:val="22"/>
        </w:rPr>
        <w:t>Rozdział 1.</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i w:val="0"/>
          <w:caps w:val="0"/>
          <w:strike w:val="0"/>
          <w:color w:val="auto"/>
          <w:sz w:val="22"/>
          <w:u w:val="none"/>
        </w:rPr>
        <w:t>Postanowienia ogólne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Nadaje się Samorządowi Mieszkańców Miasta Czerniejewo niniejszy statut określający jego organizację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zakres działania.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Ilekroć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niniejszym Statucie jest mowa 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rPr>
        <w:t>Gminie - należy przez to rozumieć Gminę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auto"/>
          <w:sz w:val="22"/>
          <w:u w:val="none"/>
        </w:rPr>
        <w:t>Radzie - należy przez to rozumieć Radę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auto"/>
          <w:sz w:val="22"/>
          <w:u w:val="none"/>
        </w:rPr>
        <w:t>Burmistrzu - należy przez to rozumieć Burmistrza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auto"/>
          <w:sz w:val="22"/>
          <w:u w:val="none"/>
        </w:rPr>
        <w:t>Urzędzie - należy przez to rozumieć Urząd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auto"/>
          <w:sz w:val="22"/>
          <w:u w:val="none"/>
        </w:rPr>
        <w:t>Statucie - należy przez to rozumieć Statut Samorządu Mieszkańców Miasta Czerniejewo.</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i w:val="0"/>
          <w:caps w:val="0"/>
          <w:strike w:val="0"/>
          <w:color w:val="auto"/>
          <w:sz w:val="22"/>
          <w:u w:val="none"/>
        </w:rPr>
        <w:t>Nazwa, obszar Samorządu i</w:t>
      </w:r>
      <w:r>
        <w:rPr>
          <w:rFonts w:ascii="Times New Roman" w:eastAsia="Times New Roman" w:hAnsi="Times New Roman" w:cs="Times New Roman"/>
          <w:b/>
          <w:i w:val="0"/>
          <w:caps w:val="0"/>
          <w:strike w:val="0"/>
          <w:color w:val="auto"/>
          <w:sz w:val="22"/>
          <w:u w:val="none"/>
        </w:rPr>
        <w:t> </w:t>
      </w:r>
      <w:r>
        <w:rPr>
          <w:rFonts w:ascii="Times New Roman" w:eastAsia="Times New Roman" w:hAnsi="Times New Roman" w:cs="Times New Roman"/>
          <w:b/>
          <w:i w:val="0"/>
          <w:caps w:val="0"/>
          <w:strike w:val="0"/>
          <w:color w:val="auto"/>
          <w:sz w:val="22"/>
          <w:u w:val="none"/>
        </w:rPr>
        <w:t>podstawy działania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Ogół mieszkańców miasta Czerniejewo stanowi samorząd mieszkańców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nazwie Samorząd Mieszkańców Miasta Czerniejewo, zwany dalej Samorządem.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Obszar działania Samorządu obejmuje obręb miasta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Samorząd jest jednostką pomocniczą Gminy, która uczestniczy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jej zadań na warunkach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niniejszym statucie.</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Organizacja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zakres działania organów Samorządu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Samorząd współdziała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organami Gminy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wykonywaniu zadań na rzecz zaspokajania potrzeb wspólnoty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Zadania Samorządu obejmują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administrowanie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korzystanie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mienia przekazanego Samorządowi,</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kultywowanie tradycji kulturowych na terenie Samorządu,</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inicjowanie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organizowanie imprez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charakterze kulturalno-oświatowym, sportowym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wypoczynkowym,</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inicjowanie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organizowanie różnych form opieki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ramach pomocy społecznej mieszkańcom oczekującym tej pomocy,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organizowanie wspólnych prac na rzecz Samorządu,</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podejmowanie inicjatyw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przedsięwzięć społecznych.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Zadania określone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 realizuje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poprzez:</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podejmowanie uchwał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opiniowanie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konsultowanie spraw należących do zakresu działania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występowanie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wnioskami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postulatami do Gminy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istotnych dla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współpracę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organami Gminy przy organizacji konsultacji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mieszkańcami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współpracę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organizacji spotkań radnych Rady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Burmistrza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mieszkańcami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współpracę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Organami Samorządu są:</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Ogólne Zebranie Mieszkańców, które jest organem uchwałodawczym, zwane dalej Zebraniem,</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Przewodniczący Samorządu, który jest organem wykonawczym, zwany dalej Przewodniczącym.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Działalność Przewodniczącego wspomaga Rada Mieszkańców składająca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do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osób -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liczbie jej członków decyduje Zebranie.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Kadencja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Rady Mieszkańców trwa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 Wybory zarządza się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okresie 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miesięcy od dnia wyboru nowej Rady.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 upływie kadencji Przewodniczący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Rada Mieszkańców pełnią swoje funkcje do czasu objęcia funkcji przez nowo wybranego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Radę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Samorząd, jego organy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Rada Mieszkańców dbają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zbiorowe potrzeby mieszkańców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Do kompetencji Zebrania należy: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uchwalanie kierunków działania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podejmowanie uchwał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zajmowanie stanowiska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dotyczących działalności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wybieranie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odwoływanie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Rady Mieszkańców,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występowanie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wnioskami do organów Gminy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rozpatrzenie spraw, których załatwienie wykracza poza możliwości mieszkańców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b w:val="0"/>
          <w:i w:val="0"/>
          <w:caps w:val="0"/>
          <w:strike w:val="0"/>
          <w:color w:val="000000"/>
          <w:sz w:val="22"/>
          <w:u w:val="none" w:color="000000"/>
          <w:vertAlign w:val="baseline"/>
        </w:rPr>
        <w:t>Do obowiązków Przewodniczącego należy: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realizowanie zadań wytyczonych przez Zebranie,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reprezentowanie Samorządu przed organami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składanie na Zebraniu rocznego sprawozdania ze swej działalności,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występowanie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inicjatywą przedsięwzięć mających na celu organizowanie czasu wolnego dzieciom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młodzieży,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podejmowanie inicjatyw mających na celu umacnianie bezpieczeństwa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porządku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zwoływanie zebrań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mieszkańcami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przygotowywanie projektu porządku obrad,</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przygotowywanie projektów uchwał Zebrania,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uczestnictwo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naradach Sołtysów, zwoływanych przez Burmistrza,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współpraca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radnymi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Do obowiązków Rady Mieszkańców należy wspomaganie działalności Przewodniczącego we wszystkich zadaniach,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przyjmowanie wniosków mieszkańców dotyczących Samorządu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jego funkcjonowania.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Mieszkańców ma charakter opiniodawczy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doradczy.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Posiedzenia Rady Mieszkańców zwołuje Przewodniczący.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Posiedzenia Rady Mieszkańców odbywają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miarę potrzeb, jednak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rzadziej niż raz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Posiedzeniu przewodniczy Przewodniczący.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Uchwały Rady Mieszkańców, wnioski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opinie zapadają zwykłą większością głosów, przy obecności co najmniej połowy jej składu.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Posiedzenia Rady Mieszkańców są jawne.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Pełnienie funkcji przez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ma charakter społeczny.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Ogólne Zebranie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Prawo do głosowania na Zebraniu mają wszyscy mieszkańcy Samorządu posiadający czynne prawo wyborcze, stale zamieszkujący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Czerniejewie ujęci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stałym rejestrze wyborców.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Osoby uprawnione do udziału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Zebraniu odnotowują swoją obecność na liście obecności wyłożonej do podpisu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miejscu,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odbywa się zebranie. Lista obecności jest załącznikiem do protokołu zebrania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służy do stwierdzenia prawomocności obrad.</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b w:val="0"/>
          <w:i w:val="0"/>
          <w:caps w:val="0"/>
          <w:strike w:val="0"/>
          <w:color w:val="000000"/>
          <w:sz w:val="22"/>
          <w:u w:val="none" w:color="000000"/>
          <w:vertAlign w:val="baseline"/>
        </w:rPr>
        <w:t>Zebranie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wyjątkiem § 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zwołuje Przewodniczący: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 własnej inicjatywy,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wniosek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 pisemny wniosek co najmniej 1/10 mieszkańców uprawnionych do głosowania na zebraniu,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polecenie Rady lub Burmistrza.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Zebranie odbywa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miarę potrzeb, jednak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rzadziej niż raz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Termin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miejsce zebrania Przewodniczący podaje do wiadomości publicznej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zwyczajowo przyjęty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Samorządzie na co najmniej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przed terminem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Zebranie zwołane na wniosek mieszkańców, Rady lub Burmistrza, winno odbyć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doręczenia wniosku 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określonym przez wnioskodawców,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zastrzeżeniem 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Zebranie jest ważne, gdy mieszkańcy Samorządu zostaną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nim prawidłowo powiadomieni,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wymogami niniejszego Statutu.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Zebranie otwiera Przewodniczący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przewodniczy jego obradom,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wyjątkiem sytuacji, gdy temat zebrania dotyczy, pośrednio lub bezpośrednio, jego osoby. Zebranie na wniosek Przewodniczącego może wybrać inną osobę na przewodniczącego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Jeżeli Przewodniczący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może prowadzić obrad Zebrania wyznacza członka Rady Mieszkańców, który przejmuje jego uprawnienia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obowiązki na czas określony.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Porządek obrad ustala Zebranie na podstawie projektu przedłożonego przez Przewodniczącego lub członka Rady Mieszkańców wyznaczonego przez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Projekt porządku obrad winien być skonsultowany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Radą Mieszkańców. Sprawy proponowane do rozpatrzenia na zebraniu winny być należycie przygotowane.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Obowiązkiem Przewodniczącego jest zapewnienie obsługi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Zebrania zapadają zwykłą większością głosów, tzn. liczba głosów "za" musi być większa od liczby głosów "przeciw".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Głosowanie odbywa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jawny.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Uchwały Zebrania podpisuje Przewodniczący lub członek Rady Mieszkańców wyznaczony przez Przewodniczącego do prowadzenia obrad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Obrady Zebrania są protokołowane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uchwałami, innymi rozstrzygnięciami oraz listą obecności przekazywane są do Urzędu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ciągu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zebrania. Kopie tych dokumentów znajdują się do wglądu 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Protokół podpisuje prowadzący Zebranie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protokolant.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Zwołujący Zebranie podaje do publicznej wiadomości (na tablicy ogłoszeń) rozstrzygnięcia podjęte przez 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ciągu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ich podjęcia.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Wybory Przewodniczącego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wyborów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zarządza Burmistrz.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celu określa miejsce, dzień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godzinę zebrania wiejskiego oraz wyznacza przewodniczącego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Porządek obrad zebrania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wyborów powinien zawierać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powołanie komisji skrutacyjnej,</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zgłoszenie kandydatów na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autoprezentację kandydatów,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przeprowadzenie tajnego głosowania,</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ogłoszenie wyników.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Przygotowanie warunków organizacyjnych do przeprowadzenia tajnego głosowania zapewnia Burmistrz.</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Prawo do zgłaszania kandydatów ustnie lub pisemnie posiada mieszkaniec Samorządu, który posiada czynne prawo wyborcze.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Kandydować do organów Samorządu może osoba posiadająca czynne prawo wyborcze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stale zamieszkująca na terenie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b w:val="0"/>
          <w:i w:val="0"/>
          <w:caps w:val="0"/>
          <w:strike w:val="0"/>
          <w:color w:val="000000"/>
          <w:sz w:val="22"/>
          <w:u w:val="none" w:color="000000"/>
          <w:vertAlign w:val="baseline"/>
        </w:rPr>
        <w:t>Do dokonania wyboru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Rady Mieszkańców na Zebraniu, mieszkańcy uprawnieni do głosowania są uprawnieni bez względu na liczbę obecnych, uprawnionych do głosowania mieszkańców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Wybory przeprowadza komisja skrutacyjna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składzie co najmniej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osób wybranych spośród uprawnionych do głosowania uczestników zebrania. Komisja skrutacyjna wyłania spośród siebie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Członkiem komisji skrutacyjnej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może być osoba kandydująca na Przewodniczącego lub do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 zadań komisji skrutacyjnej należy: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przedstawienie trybu przeprowadzenia wyborów,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przyjęcie zgłoszeń kandydatów,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wpisanie na kartach do głosowania, opatrzonych pieczęcią Urzędu Miasta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Gminy Czerniejewo, imion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nazwisk kandydatów,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przeprowadzenie głosowania,</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podliczenie głosów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ustalenie wyników wyborów,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sporządzenie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podpisanie protokołu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wynikach wyborów oraz ich ogłoszenie.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Wybory odbywają się przy nieograniczonej liczbie kandydatów, zgłoszonych bezpośrednio przez uprawnionych uczestników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pierwszej kolejności należy przeprowadzić zgłoszenie kandydatów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głosowanie dla dokonania wyboru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drugiej kolejności należy ustalić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głosowaniu jawnym liczbę członków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trzeciej kolejności należy przeprowadzić zgłoszenie kandydatów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głosowanie dla dokonania wyboru członków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Wyborów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dokonuje się przez głosowanie na kartach do głosowania przygotowanych przez komisję skrutacyjną.</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lokalu Zebrania wydziela się miejsca zapewniające tajność głosowania.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Przed rozpoczęciem głosowania komisja sprawdza czy urna do głosowania jest pusta oraz ustala liczbę otrzymanych kart do głosowania. Komisja otrzymuje karty do głosowania od pracowników Urzędu uczestniczących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Zebraniu.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Uczestnik Zebrania otrzymuje od komisji karty do głosowania opatrzone pieczęcią Urzędu Miasta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Nazwiska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imiona kandydatów na karcie do głosowania wpisuje komisja skrutacyjna. Kandydatury zapisuje się na karcie według kolejności zgłoszeń.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Głosowanie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wyborach na Przewodniczącego odbywa się przez postawienie znaku „X” obok nazwiska kandydata, na którego wyborca głosuje.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Sposób głosowania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gdy zgłoszono dwóch lub więcej kandydatów: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Głosować można tylko na jednego kandydata, stawiając znak „X” obok jego nazwiska,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Postawienie znaku „X” obok nazwisk kilku kandydatów powoduje nieważność głosu,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Niepostawienie znaku „X” przy żadnym nazwisku powoduje, że głos jest nieważny,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 wybranego uważa się kandydata, który uzyskał największą liczbę ważnie oddanych głosów,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Jeżeli kandydaci otrzymali taką samą liczbę ważnie oddanych głosów, przeprowadza się ponownie głosowanie,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Jeśli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ponownym głosowaniu największa liczba głosów nadal będzie równa, wówczas przeprowadza się spośród tych kandydatów dalsze ponowne głosowanie. Taką procedurę kolejnych głosowań przeprowadza się do uzyskania wyboru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Jeśli na Przewodniczącego zgłoszono jednego kandydata, głosowanie następuje poprzez postawienie znaku „X” przy oznaczeniu „ZA” (głos za kandydaturą) lub „PRZECIW” ( głos przeciw kandydaturze) na karcie do głosowania, zaś za wybranego uważa się kandydata, który uzyskał więcej głosów „ZA” niż „PRZECIW”. Postawienie znaku „X” przy obu oznaczeniach albo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postawienie znaku „X” przy żadnym oznaczeniu powoduje nieważność głosu.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Głosowanie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wyborach do Rady Mieszkańców odbywa się poprzez postawienie na karcie do głosowania znaków „X” obok nazwisk kandydatów na których wyborca głosuje.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Sposób głosowania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gdy liczba kandydatów jest większa od liczby członków Rady Mieszkańców: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 ważny, to taki gdy wyborca postawił znak „X” przy liczbie wybieranych członków Rady Mieszkańców lub mniejszej liczbie wybieranych członków Rady Mieszkańców spośród umieszczonych na liście kandydatów,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Gdy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postawiono znaku „X” przy żadnym kandydacie głos uznaje się za nieważny,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Głos jest nieważny, gdy postawiono na karcie więcej znaków „X”, niż liczba wybieranych członków Rady Mieszkańców,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 wybranych do Rady Mieszkańców uważa się tych kandydatów, którzy uzyskali kolejno największą liczbę głosów,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przypadku uzyskania równej liczby głosów przez kilku kandydatów, przewyższającej ilość członków Rady Mieszkańców, głosowanie powtarza się. Na kartach wyborczych do II tury pozostawia się nazwiska kandydatów, którzy uzyskali równą liczbę głosów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 turze.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Jeżeli liczba kandydatów zgłoszona do Rady Mieszkańców równa się liczbie członków Rady Mieszkańców, ustalonej podczas głosowania, głosowania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przeprowadza się,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członkami Rady Mieszkańców  zostają zgłoszenie kandydaci.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Przewodniczący komisji odpowiada za utrzymanie porządku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spokoju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czasie głosowania.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Odwołanie Przewodniczącego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członków Rady Mieszkańców, wybory przedterminowe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uzupełniające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Mandat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członka Rady Mieszkańców wygasa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śmierci, odwołania, zrzeczenia się lub utraty prawa wybieralności.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wypadku wygaśnięcia mandatu Przewodniczącego lub członka Rady Mieszkańców przeprowadza się wybory uzupełniające.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uzupełnienia składu Rady Mieszkańców zwołuje Przewodniczący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miesiąca od dnia wygaśnięcia mandatu.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rezygnacji pełnienia funkcji przez Przewodniczącego, zebranie zwołuje członek Rady Mieszkańców najstarszy wiekiem.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Wyborów uzupełniających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przeprowadza się, jeżeli do końca kadencji pozostało mniej niż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miesiące.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Odwołanie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stanowi wyłączną kompetencję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odwołania,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zwołuje Burmistrz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własnej inicjatywy lub na uzasadniony, pisemny wniosek co najmniej 1/10 stałych mieszkańców Samorządu uprawnionych do głosowania.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Rozpoznaniu przez Burmistrza podlegają wnioski stawiające osobom wymienionym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zarzuty: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nie wywiązywania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obowiązków statutowych,</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nie respektowania uchwał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Wnioskom bez uzasadnienia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nadaje się biegu.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Odwołanie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może nastąpić podczas ich nieobecności na zebraniu, jeżeli od zainteresowanych wpłynęło potwierdzenie odbioru zawiadomienia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Odwołanie Przewodniczącego lub członka Rady Mieszkańców winno być poprzedzone wysłuchaniem zainteresowanego.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Odwołanie odbywa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takim samym trybie jak wybory.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członkowie Rady Mieszkańców mogą złożyć rezygnację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pełnionej funkcji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trakcie trwania kadencji.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Rezygnację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funkcji przyjmuje zebranie.</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Młodzieżowa Rada jednostki pomocniczej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b w:val="0"/>
          <w:i w:val="0"/>
          <w:caps w:val="0"/>
          <w:strike w:val="0"/>
          <w:color w:val="000000"/>
          <w:sz w:val="22"/>
          <w:u w:val="none" w:color="000000"/>
          <w:vertAlign w:val="baseline"/>
        </w:rPr>
        <w:t>Upoważnia się jednostkę pomocniczą do utworzenia młodzieżowej rady jednostki pomocniczej.</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8.</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Gospodarka finansowa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zarządzanie mieniem gminnym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Wszystkie prawa rzeczowe przysługujące dotychczas sołectwu pozostają nienaruszone.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upoważnia przewodniczącego organu wykonawczego jednostki pomocniczej do zarządzania i korzystania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mienia komunalnego.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b w:val="0"/>
          <w:i w:val="0"/>
          <w:caps w:val="0"/>
          <w:strike w:val="0"/>
          <w:color w:val="000000"/>
          <w:sz w:val="22"/>
          <w:u w:val="none" w:color="000000"/>
          <w:vertAlign w:val="baseline"/>
        </w:rPr>
        <w:t>1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przeznaczenia środków finansowych na działalność samorządu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 gminy, samorząd gospodaruje tymi środkami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ramach budżetu gminy.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Dochody ze składników mienia komunalnego użytkowanego przez samorząd winny być przeznaczone na koszty utrzymania tego mienia.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Składniki mienia komunalnego zakupione ze środków wyodrębnionych dla samorządu lub przekazanych, pozostają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posiadaniu samorządu,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ile Rada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postanowi inaczej.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Przewodniczący przekazuje Burmistrzowi dokumenty finansowo-księgowe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ich otrzymania, natomiast dokumenty zobowiązujące do zapłaty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ich otrzymania,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przed terminem płatności.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Obsługę finansową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księgową sołectwa zapewnia Urząd.</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Nadzór nad działalnością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Nadzór nad działalnością Samorządu sprawowany jest na podstawie kryterium zgodności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prawem, celowości, rzetelności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gospodarności.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Organami nadzoru nad działalnością Samorządu są: Rada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Burmistrz.</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Organem kontroli nad działalnością Samorządu jest Rada.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Funkcję,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Rada realizuje poprzez działania własne lub komisji rewizyjnej.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Organy,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 mają prawo żądać niezbędnych informacji, danych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wyjaśnień dotyczących funkcjonowania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Przepisy dotyczące zasad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trybu kontroli określone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Statucie Gminy stosuje się odpowiednio.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lub członek Rady Mieszkańców obowiązani są do przedłożenia Burmistrzowi uchwał zebrania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ich podjęcia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protokołem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Uchwały zebrania sprzeczne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prawem są nieważne. Ich nieważność stwierdza Burmistrz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wstrzymuje ich wykonanie.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Uchwała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odpowiadająca wymogom celowości, gospodarności lub rzetelności może być przez Burmistrza uchylona.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Od decyzji,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Samorządowi przysługuje prawo wniesienia odwołania do Rady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otrzymania decyzji.</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type w:val="nextPage"/>
          <w:pgSz w:w="11906" w:h="16838"/>
          <w:pgMar w:top="992" w:right="1020" w:bottom="992" w:left="1020" w:header="708" w:footer="708" w:gutter="0"/>
          <w:pgNumType w:start="1"/>
          <w:cols w:space="708"/>
          <w:docGrid w:linePitch="360"/>
        </w:sectPr>
      </w:pPr>
      <w:r>
        <w:rPr>
          <w:rFonts w:ascii="Times New Roman" w:eastAsia="Times New Roman" w:hAnsi="Times New Roman" w:cs="Times New Roman"/>
          <w:b/>
          <w:sz w:val="22"/>
        </w:rPr>
        <w:t>§ 31. </w:t>
      </w:r>
      <w:r>
        <w:rPr>
          <w:rFonts w:ascii="Times New Roman" w:eastAsia="Times New Roman" w:hAnsi="Times New Roman" w:cs="Times New Roman"/>
          <w:b w:val="0"/>
          <w:i w:val="0"/>
          <w:caps w:val="0"/>
          <w:strike w:val="0"/>
          <w:color w:val="000000"/>
          <w:sz w:val="22"/>
          <w:u w:val="none" w:color="000000"/>
          <w:vertAlign w:val="baseline"/>
        </w:rPr>
        <w:t>Zmiany Statutu dokonuje Rada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trybie przewidzianym dla jego uchwalenia.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lang w:val="x-none" w:eastAsia="en-US" w:bidi="ar-SA"/>
        </w:rPr>
      </w:pPr>
      <w:r>
        <w:rPr>
          <w:b/>
          <w:szCs w:val="20"/>
          <w:lang w:val="x-none" w:eastAsia="en-US" w:bidi="ar-SA"/>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szCs w:val="20"/>
          <w:lang w:val="x-none" w:eastAsia="en-US" w:bidi="ar-SA"/>
        </w:rPr>
      </w:pPr>
      <w:r>
        <w:rPr>
          <w:szCs w:val="20"/>
          <w:lang w:val="x-none" w:eastAsia="en-US" w:bidi="ar-SA"/>
        </w:rPr>
        <w:t xml:space="preserve">do Uchwały Nr </w:t>
      </w:r>
      <w:r>
        <w:rPr>
          <w:szCs w:val="20"/>
        </w:rPr>
        <w:t>...</w:t>
      </w:r>
      <w:r>
        <w:rPr>
          <w:szCs w:val="20"/>
          <w:lang w:val="x-none" w:eastAsia="en-US" w:bidi="ar-SA"/>
        </w:rPr>
        <w:t>/</w:t>
      </w:r>
      <w:r>
        <w:rPr>
          <w:szCs w:val="20"/>
        </w:rPr>
        <w:t>...</w:t>
      </w:r>
      <w:r>
        <w:rPr>
          <w:szCs w:val="20"/>
          <w:lang w:val="x-none" w:eastAsia="en-US" w:bidi="ar-SA"/>
        </w:rPr>
        <w:t>/</w:t>
      </w:r>
      <w:r>
        <w:rPr>
          <w:szCs w:val="20"/>
        </w:rPr>
        <w:t>26</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szCs w:val="20"/>
          <w:lang w:val="x-none" w:eastAsia="en-US" w:bidi="ar-SA"/>
        </w:rPr>
      </w:pPr>
      <w:r>
        <w:rPr>
          <w:szCs w:val="20"/>
          <w:lang w:val="x-none" w:eastAsia="en-US" w:bidi="ar-SA"/>
        </w:rPr>
        <w:t>Rady Miasta i Gminy Czerniejewo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szCs w:val="20"/>
          <w:lang w:val="x-none" w:eastAsia="en-US" w:bidi="ar-SA"/>
        </w:rPr>
      </w:pPr>
      <w:r>
        <w:rPr>
          <w:szCs w:val="20"/>
          <w:lang w:val="x-none" w:eastAsia="en-US" w:bidi="ar-SA"/>
        </w:rPr>
        <w:t>z dnia 2</w:t>
      </w:r>
      <w:r>
        <w:rPr>
          <w:szCs w:val="20"/>
        </w:rPr>
        <w:t>8</w:t>
      </w:r>
      <w:r>
        <w:rPr>
          <w:szCs w:val="20"/>
          <w:lang w:val="x-none" w:eastAsia="en-US" w:bidi="ar-SA"/>
        </w:rPr>
        <w:t> </w:t>
      </w:r>
      <w:r>
        <w:rPr>
          <w:szCs w:val="20"/>
        </w:rPr>
        <w:t xml:space="preserve">stycznia 2026 r. </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szCs w:val="20"/>
          <w:lang w:val="x-none" w:eastAsia="en-US" w:bidi="ar-SA"/>
        </w:rPr>
      </w:pPr>
      <w:r>
        <w:rPr>
          <w:szCs w:val="20"/>
          <w:shd w:val="clear" w:color="auto" w:fill="FFFFFF"/>
          <w:lang w:val="x-none" w:eastAsia="en-US" w:bidi="ar-SA"/>
        </w:rPr>
        <w:t>W celu dostosowania do aktualnych regulacji prawnych i potrzeb mieszkańców treś</w:t>
      </w:r>
      <w:r>
        <w:rPr>
          <w:szCs w:val="20"/>
          <w:shd w:val="clear" w:color="auto" w:fill="FFFFFF"/>
        </w:rPr>
        <w:t>ci</w:t>
      </w:r>
      <w:r>
        <w:rPr>
          <w:szCs w:val="20"/>
          <w:shd w:val="clear" w:color="auto" w:fill="FFFFFF"/>
          <w:lang w:val="x-none" w:eastAsia="en-US" w:bidi="ar-SA"/>
        </w:rPr>
        <w:t xml:space="preserve"> statut</w:t>
      </w:r>
      <w:r>
        <w:rPr>
          <w:szCs w:val="20"/>
          <w:shd w:val="clear" w:color="auto" w:fill="FFFFFF"/>
        </w:rPr>
        <w:t>u</w:t>
      </w:r>
      <w:r>
        <w:rPr>
          <w:szCs w:val="20"/>
          <w:shd w:val="clear" w:color="auto" w:fill="FFFFFF"/>
          <w:lang w:val="x-none" w:eastAsia="en-US" w:bidi="ar-SA"/>
        </w:rPr>
        <w:t xml:space="preserve"> </w:t>
      </w:r>
      <w:r>
        <w:rPr>
          <w:szCs w:val="20"/>
          <w:shd w:val="clear" w:color="auto" w:fill="FFFFFF"/>
        </w:rPr>
        <w:t>Samorządu Mieszkańców Miasta Czerniejewo</w:t>
      </w:r>
      <w:r>
        <w:rPr>
          <w:szCs w:val="20"/>
          <w:shd w:val="clear" w:color="auto" w:fill="FFFFFF"/>
        </w:rPr>
        <w:t>,</w:t>
      </w:r>
      <w:r>
        <w:rPr>
          <w:szCs w:val="20"/>
          <w:shd w:val="clear" w:color="auto" w:fill="FFFFFF"/>
          <w:lang w:val="x-none" w:eastAsia="en-US" w:bidi="ar-SA"/>
        </w:rPr>
        <w:t xml:space="preserve"> przeprowadzono konsultacje na terenie Gminy Czerniejewo.</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r>
        <w:rPr>
          <w:szCs w:val="20"/>
          <w:shd w:val="clear" w:color="auto" w:fill="FFFFFF"/>
          <w:lang w:val="x-none" w:eastAsia="en-US" w:bidi="ar-SA"/>
        </w:rPr>
        <w:tab/>
        <w:t xml:space="preserve">Projekt statutów jednostek pomocniczych podlegają konsultacji z mieszkańcami jednostek pomocniczych gminy. Obowiązek przeprowadzenia konsultacji wynika z art. 35 ust. 1 ustawy </w:t>
      </w:r>
      <w:r>
        <w:rPr>
          <w:szCs w:val="20"/>
          <w:shd w:val="clear" w:color="auto" w:fill="FFFFFF"/>
        </w:rPr>
        <w:t xml:space="preserve"> </w:t>
      </w:r>
      <w:r>
        <w:rPr>
          <w:szCs w:val="20"/>
          <w:shd w:val="clear" w:color="auto" w:fill="FFFFFF"/>
          <w:lang w:val="x-none" w:eastAsia="en-US" w:bidi="ar-SA"/>
        </w:rPr>
        <w:t>z dnia 8 marca 1990 r. o samorządzie gminnym ( Dz.U. 2025, poz. 1153 ).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r>
        <w:rPr>
          <w:szCs w:val="20"/>
          <w:shd w:val="clear" w:color="auto" w:fill="FFFFFF"/>
          <w:lang w:val="x-none" w:eastAsia="en-US" w:bidi="ar-SA"/>
        </w:rPr>
        <w:tab/>
        <w:t xml:space="preserve">Konsultacje w sprawie nadania </w:t>
      </w:r>
      <w:r>
        <w:rPr>
          <w:szCs w:val="20"/>
          <w:shd w:val="clear" w:color="auto" w:fill="FFFFFF"/>
        </w:rPr>
        <w:t xml:space="preserve">statutu Samorządu Mieszkańców Miasta </w:t>
      </w:r>
      <w:r>
        <w:rPr>
          <w:szCs w:val="20"/>
          <w:shd w:val="clear" w:color="auto" w:fill="FFFFFF"/>
        </w:rPr>
        <w:t>Czerniejewo</w:t>
      </w:r>
      <w:r>
        <w:rPr>
          <w:szCs w:val="20"/>
          <w:shd w:val="clear" w:color="auto" w:fill="FFFFFF"/>
          <w:lang w:val="x-none" w:eastAsia="en-US" w:bidi="ar-SA"/>
        </w:rPr>
        <w:t xml:space="preserve"> przeprowadzono w okresie od </w:t>
      </w:r>
      <w:r>
        <w:rPr>
          <w:szCs w:val="20"/>
          <w:shd w:val="clear" w:color="auto" w:fill="FFFFFF"/>
        </w:rPr>
        <w:t>14 stycznia 2026 r.</w:t>
      </w:r>
      <w:r>
        <w:rPr>
          <w:szCs w:val="20"/>
          <w:shd w:val="clear" w:color="auto" w:fill="FFFFFF"/>
          <w:lang w:val="x-none" w:eastAsia="en-US" w:bidi="ar-SA"/>
        </w:rPr>
        <w:t xml:space="preserve"> do </w:t>
      </w:r>
      <w:r>
        <w:rPr>
          <w:szCs w:val="20"/>
          <w:shd w:val="clear" w:color="auto" w:fill="FFFFFF"/>
        </w:rPr>
        <w:t>2</w:t>
      </w:r>
      <w:r>
        <w:rPr>
          <w:szCs w:val="20"/>
          <w:shd w:val="clear" w:color="auto" w:fill="FFFFFF"/>
          <w:lang w:val="x-none" w:eastAsia="en-US" w:bidi="ar-SA"/>
        </w:rPr>
        <w:t xml:space="preserve">7 </w:t>
      </w:r>
      <w:r>
        <w:rPr>
          <w:szCs w:val="20"/>
          <w:shd w:val="clear" w:color="auto" w:fill="FFFFFF"/>
        </w:rPr>
        <w:t>stycznia</w:t>
      </w:r>
      <w:r>
        <w:rPr>
          <w:szCs w:val="20"/>
          <w:shd w:val="clear" w:color="auto" w:fill="FFFFFF"/>
          <w:lang w:val="x-none" w:eastAsia="en-US" w:bidi="ar-SA"/>
        </w:rPr>
        <w:t xml:space="preserve"> 20</w:t>
      </w:r>
      <w:r>
        <w:rPr>
          <w:szCs w:val="20"/>
          <w:shd w:val="clear" w:color="auto" w:fill="FFFFFF"/>
        </w:rPr>
        <w:t>26</w:t>
      </w:r>
      <w:r>
        <w:rPr>
          <w:szCs w:val="20"/>
          <w:shd w:val="clear" w:color="auto" w:fill="FFFFFF"/>
          <w:lang w:val="x-none" w:eastAsia="en-US" w:bidi="ar-SA"/>
        </w:rPr>
        <w:t xml:space="preserve"> r. w oparciu o uchwałę Nr VI/35/07 Rady Miasta i Gminy Czerniejewo z dnia 28 marca 2007 r. w sprawie: zasad i trybu przeprowadzania konsultacji z mieszkańcami Miasta i Gminy Czerniejewo.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r>
        <w:rPr>
          <w:szCs w:val="20"/>
          <w:shd w:val="clear" w:color="auto" w:fill="FFFFFF"/>
          <w:lang w:val="x-none" w:eastAsia="en-US" w:bidi="ar-SA"/>
        </w:rPr>
        <w:tab/>
        <w:t xml:space="preserve">Projekt uchwały w sprawie uchwalenia </w:t>
      </w:r>
      <w:r>
        <w:rPr>
          <w:szCs w:val="20"/>
          <w:shd w:val="clear" w:color="auto" w:fill="FFFFFF"/>
        </w:rPr>
        <w:t xml:space="preserve">statutu Samorządu Mieszkańców Miasta i Gminy Czerniejewo </w:t>
      </w:r>
      <w:r>
        <w:rPr>
          <w:szCs w:val="20"/>
          <w:shd w:val="clear" w:color="auto" w:fill="FFFFFF"/>
          <w:lang w:val="x-none" w:eastAsia="en-US" w:bidi="ar-SA"/>
        </w:rPr>
        <w:t xml:space="preserve">został </w:t>
      </w:r>
      <w:r>
        <w:rPr>
          <w:szCs w:val="20"/>
          <w:shd w:val="clear" w:color="auto" w:fill="FFFFFF"/>
        </w:rPr>
        <w:t>.................................................</w:t>
      </w:r>
      <w:r>
        <w:rPr>
          <w:szCs w:val="20"/>
          <w:shd w:val="clear" w:color="auto" w:fill="FFFFFF"/>
          <w:lang w:val="x-none" w:eastAsia="en-US" w:bidi="ar-SA"/>
        </w:rPr>
        <w:t xml:space="preserve"> zaopiniowany na wspólnym posiedzeniu Komisji Rady Miasta i Gminy Czerniejewo w dniu </w:t>
      </w:r>
      <w:r>
        <w:rPr>
          <w:szCs w:val="20"/>
          <w:shd w:val="clear" w:color="auto" w:fill="FFFFFF"/>
        </w:rPr>
        <w:t>20</w:t>
      </w:r>
      <w:r>
        <w:rPr>
          <w:szCs w:val="20"/>
          <w:shd w:val="clear" w:color="auto" w:fill="FFFFFF"/>
          <w:lang w:val="x-none" w:eastAsia="en-US" w:bidi="ar-SA"/>
        </w:rPr>
        <w:t xml:space="preserve"> </w:t>
      </w:r>
      <w:r>
        <w:rPr>
          <w:szCs w:val="20"/>
          <w:shd w:val="clear" w:color="auto" w:fill="FFFFFF"/>
        </w:rPr>
        <w:t>stycznia 2026 r.</w:t>
      </w:r>
      <w:r>
        <w:rPr>
          <w:szCs w:val="20"/>
          <w:shd w:val="clear" w:color="auto" w:fill="FFFFFF"/>
          <w:lang w:val="x-none" w:eastAsia="en-US" w:bidi="ar-SA"/>
        </w:rPr>
        <w:t xml:space="preserve">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lang w:val="x-none" w:eastAsia="en-US" w:bidi="ar-SA"/>
        </w:rPr>
      </w:pPr>
    </w:p>
    <w:sectPr>
      <w:footerReference w:type="default" r:id="rId6"/>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89C9297E-6ADD-49D0-A341-A125A6B5D218.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89C9297E-6ADD-49D0-A341-A125A6B5D218.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89C9297E-6ADD-49D0-A341-A125A6B5D218.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Miasta i Gminy Czerniejewo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 z dnia 28 stycznia 2026 r.</dc:title>
  <dc:subject>w sprawie uchwalenia Statutu Samorządu Mieszkańców Miasta Czerniejewo</dc:subject>
  <dc:creator>e_gubanska</dc:creator>
  <cp:lastModifiedBy>e_gubanska</cp:lastModifiedBy>
  <cp:revision>1</cp:revision>
  <dcterms:created xsi:type="dcterms:W3CDTF">2026-01-14T12:12:23Z</dcterms:created>
  <dcterms:modified xsi:type="dcterms:W3CDTF">2026-01-14T12:12:23Z</dcterms:modified>
  <cp:category>Akt prawny</cp:category>
</cp:coreProperties>
</file>