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4D86" w:rsidRPr="00A14D86" w:rsidRDefault="00A14D86" w:rsidP="00EA3CF6">
      <w:pPr>
        <w:jc w:val="center"/>
        <w:rPr>
          <w:rFonts w:ascii="Times New Roman" w:hAnsi="Times New Roman" w:cs="Times New Roman"/>
          <w:b/>
          <w:bCs/>
        </w:rPr>
      </w:pPr>
      <w:r w:rsidRPr="00A14D86">
        <w:rPr>
          <w:rFonts w:ascii="Times New Roman" w:hAnsi="Times New Roman" w:cs="Times New Roman"/>
          <w:b/>
          <w:bCs/>
        </w:rPr>
        <w:t>Objaśnienia przyjętych wartości do Wieloletniej Prognozy Finansowej Gminy Czerniejewo na lata 2025-2033</w:t>
      </w:r>
    </w:p>
    <w:p w:rsidR="00A14D86" w:rsidRPr="00A14D86" w:rsidRDefault="00A14D86" w:rsidP="00A14D86">
      <w:p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Zgodnie ze zmianami w budżecie na dzień 26 marca 2025 r., dokonano następujących zmian w Wieloletniej Prognozie Finansowej Gminy Czerniejewo:</w:t>
      </w:r>
    </w:p>
    <w:p w:rsidR="00A14D86" w:rsidRPr="00A14D86" w:rsidRDefault="00A14D86" w:rsidP="00A14D8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Dochody ogółem zwiększono o 308 616,63 zł, z czego dochody bieżące zwiększono o 308 616,63 zł, a dochody majątkowe nie uległy zmianie.</w:t>
      </w:r>
    </w:p>
    <w:p w:rsidR="00A14D86" w:rsidRPr="00A14D86" w:rsidRDefault="00A14D86" w:rsidP="00A14D8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Wydatki ogółem zwiększono o 308 616,63 zł, z czego wydatki bieżące zwiększono o 310 871,63 zł, a wydatki majątkowe zmniejszono o 2 255,00 zł.</w:t>
      </w:r>
    </w:p>
    <w:p w:rsidR="00A14D86" w:rsidRPr="00A14D86" w:rsidRDefault="00A14D86" w:rsidP="00A14D8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Wynik budżetu nie uległ zmianie.</w:t>
      </w:r>
    </w:p>
    <w:p w:rsidR="00A14D86" w:rsidRPr="00A14D86" w:rsidRDefault="00A14D86" w:rsidP="00A14D86">
      <w:p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Szczegółowe informacje na temat zmian w zakresie dochodów, wydatków i wyniku budżetu w roku budżetowym przedstawiono w tabeli poniżej.</w:t>
      </w:r>
    </w:p>
    <w:p w:rsidR="00A14D86" w:rsidRPr="00A14D86" w:rsidRDefault="00A14D86" w:rsidP="00A14D86">
      <w:pPr>
        <w:rPr>
          <w:rFonts w:ascii="Times New Roman" w:hAnsi="Times New Roman" w:cs="Times New Roman"/>
          <w:b/>
          <w:bCs/>
        </w:rPr>
      </w:pPr>
      <w:r w:rsidRPr="00A14D86">
        <w:rPr>
          <w:rFonts w:ascii="Times New Roman" w:hAnsi="Times New Roman" w:cs="Times New Roman"/>
          <w:b/>
          <w:bCs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14D86" w:rsidRPr="00A14D86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62 253 507,78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+308 616,63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62 562 124,41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47 515 448,48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+308 616,63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47 824 065,11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4 116 601,48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+72 331,63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4 188 933,11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13 084 502,00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+236 285,00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13 320 787,00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66 068 474,75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+308 616,63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66 377 091,38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46 113 792,50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+310 871,63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46 424 664,13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26 252 134,86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+19 092,63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26 271 227,49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19 621 657,64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+291 779,00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19 913 436,64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19 954 682,25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-2 255,00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19 952 427,25</w:t>
            </w:r>
          </w:p>
        </w:tc>
      </w:tr>
    </w:tbl>
    <w:p w:rsidR="00A14D86" w:rsidRPr="00A14D86" w:rsidRDefault="00A14D86" w:rsidP="00A14D86">
      <w:pPr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Źródło: opracowanie własne.</w:t>
      </w:r>
    </w:p>
    <w:p w:rsidR="00A14D86" w:rsidRPr="00A14D86" w:rsidRDefault="00A14D86" w:rsidP="00A14D86">
      <w:p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Od 2026 r. nie dokonywano zmian w zakresie planowanych dochodów i wydatków budżetowych.</w:t>
      </w:r>
    </w:p>
    <w:p w:rsidR="00A14D86" w:rsidRPr="00A14D86" w:rsidRDefault="00A14D86" w:rsidP="00A14D86">
      <w:p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W Wieloletniej Prognozie Finansowej Gminy Czerniejewo:</w:t>
      </w:r>
    </w:p>
    <w:p w:rsidR="00A14D86" w:rsidRPr="00A14D86" w:rsidRDefault="00A14D86" w:rsidP="00A14D8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Przychody ogółem w roku budżetowym nie uległy zmianie.</w:t>
      </w:r>
    </w:p>
    <w:p w:rsidR="00A14D86" w:rsidRPr="00A14D86" w:rsidRDefault="00A14D86" w:rsidP="00A14D8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Rozchody ogółem w roku budżetowym nie uległy zmianie.</w:t>
      </w:r>
    </w:p>
    <w:p w:rsidR="00A14D86" w:rsidRPr="00A14D86" w:rsidRDefault="00A14D86" w:rsidP="00A14D86">
      <w:p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Od 2026 nie dokonywano zmian w zakresie planowanych przychodów.</w:t>
      </w:r>
    </w:p>
    <w:p w:rsidR="00A14D86" w:rsidRPr="00A14D86" w:rsidRDefault="00A14D86" w:rsidP="00A14D86">
      <w:p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Od 2026 nie dokonywano zmian w zakresie planowanych rozchodów.</w:t>
      </w:r>
    </w:p>
    <w:p w:rsidR="00A14D86" w:rsidRPr="00A14D86" w:rsidRDefault="00A14D86" w:rsidP="00A14D86">
      <w:p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W zakresie zawartych umów, rozchody Gminy Czerniejewo zaplanowano zgodnie z harmonogramami. W tabeli poniżej spłatę ww. zobowiązań przedstawiono w kolumnie „Zobowiązanie historyczne”.</w:t>
      </w:r>
    </w:p>
    <w:p w:rsidR="00A14D86" w:rsidRPr="00A14D86" w:rsidRDefault="00A14D86" w:rsidP="00A14D86">
      <w:pPr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lastRenderedPageBreak/>
        <w:t>Spłatę zobowiązania planowanego do zaciągnięcia ujęto w latach 2026-2033. W tabeli poniżej spłatę ww. zobowiązań przedstawiono w kolumnie „Zobowiązanie planowane”.</w:t>
      </w:r>
    </w:p>
    <w:p w:rsidR="00A14D86" w:rsidRPr="00A14D86" w:rsidRDefault="00A14D86" w:rsidP="00A14D86">
      <w:pPr>
        <w:rPr>
          <w:rFonts w:ascii="Times New Roman" w:hAnsi="Times New Roman" w:cs="Times New Roman"/>
          <w:b/>
          <w:bCs/>
        </w:rPr>
      </w:pPr>
      <w:r w:rsidRPr="00A14D86">
        <w:rPr>
          <w:rFonts w:ascii="Times New Roman" w:hAnsi="Times New Roman" w:cs="Times New Roman"/>
          <w:b/>
          <w:bCs/>
        </w:rPr>
        <w:t>Spłata zaciągniętych i planowanych zobowiązań Gminy Czerniejewo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14D86" w:rsidRPr="00A14D86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Zobowiązanie historyczne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Zobowiązanie planowane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Zobowiązania razem [zł]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672 233,00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672 233,00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1 054 237,89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1 464 237,89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710 000,00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710 000,00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710 000,00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710 000,00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710 000,00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710 000,00</w:t>
            </w:r>
          </w:p>
        </w:tc>
      </w:tr>
      <w:tr w:rsidR="00A14D86" w:rsidRPr="00A14D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401 190,00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1 039 360,37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1 440 550,37</w:t>
            </w:r>
          </w:p>
        </w:tc>
      </w:tr>
    </w:tbl>
    <w:p w:rsidR="00A14D86" w:rsidRPr="00A14D86" w:rsidRDefault="00A14D86" w:rsidP="00A14D86">
      <w:pPr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Źródło: Opracowanie własne.</w:t>
      </w:r>
    </w:p>
    <w:p w:rsidR="00A14D86" w:rsidRPr="00A14D86" w:rsidRDefault="00A14D86" w:rsidP="00A14D86">
      <w:pPr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Zmiany w Wieloletniej Prognozie Finansowej Gminy Czerniejewo na lata 2025-2033 spowodowały modyfikacje w kształtowaniu się relacji z art. 243 ustawy o finansach publicznych. Szczegóły zaprezentowano w tabeli poniżej.</w:t>
      </w:r>
    </w:p>
    <w:p w:rsidR="00A14D86" w:rsidRPr="00A14D86" w:rsidRDefault="00A14D86" w:rsidP="00A14D86">
      <w:pPr>
        <w:rPr>
          <w:rFonts w:ascii="Times New Roman" w:hAnsi="Times New Roman" w:cs="Times New Roman"/>
          <w:b/>
          <w:bCs/>
        </w:rPr>
      </w:pPr>
      <w:r w:rsidRPr="00A14D86">
        <w:rPr>
          <w:rFonts w:ascii="Times New Roman" w:hAnsi="Times New Roman" w:cs="Times New Roman"/>
          <w:b/>
          <w:bCs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1"/>
        <w:gridCol w:w="1511"/>
        <w:gridCol w:w="1511"/>
        <w:gridCol w:w="1515"/>
      </w:tblGrid>
      <w:tr w:rsidR="00A14D86" w:rsidRPr="00A14D86">
        <w:trPr>
          <w:tblHeader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Obsługa zadłużenia (fakt. i plan. po wyłączeniach)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Maksymalna obsługa zadłużenia (wg planu po III kwartale)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Zachowanie relacji z art. 243 (w oparciu o plan po III kwartale)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Maksymalna obsługa zadłużenia (wg wykonania)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  <w:b/>
                <w:bCs/>
              </w:rPr>
            </w:pPr>
            <w:r w:rsidRPr="00A14D86">
              <w:rPr>
                <w:rFonts w:ascii="Times New Roman" w:hAnsi="Times New Roman" w:cs="Times New Roman"/>
                <w:b/>
                <w:bCs/>
              </w:rPr>
              <w:t>Zachowanie relacji z art. 243 (w oparciu o wykonanie)</w:t>
            </w:r>
          </w:p>
        </w:tc>
      </w:tr>
      <w:tr w:rsidR="00A14D86" w:rsidRPr="00A14D8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2,09%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14,05%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14,26%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</w:tr>
      <w:tr w:rsidR="00A14D86" w:rsidRPr="00A14D8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4,01%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12,77%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12,98%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</w:tr>
      <w:tr w:rsidR="00A14D86" w:rsidRPr="00A14D8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2,07%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10,74%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10,95%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</w:tr>
      <w:tr w:rsidR="00A14D86" w:rsidRPr="00A14D8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1,91%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8,44%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8,66%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</w:tr>
      <w:tr w:rsidR="00A14D86" w:rsidRPr="00A14D8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1,76%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6,17%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6,38%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</w:tr>
      <w:tr w:rsidR="00A14D86" w:rsidRPr="00A14D8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1,64%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4,40%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4,61%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</w:tr>
      <w:tr w:rsidR="00A14D86" w:rsidRPr="00A14D8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1,54%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3,50%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3,71%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</w:tr>
      <w:tr w:rsidR="00A14D86" w:rsidRPr="00A14D8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1,46%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3,21%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3,21%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</w:tr>
      <w:tr w:rsidR="00A14D86" w:rsidRPr="00A14D8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lastRenderedPageBreak/>
              <w:t>2033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2,73%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3,73%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3,73%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86" w:rsidRPr="00A14D86" w:rsidRDefault="00A14D86" w:rsidP="00A14D86">
            <w:pPr>
              <w:jc w:val="right"/>
              <w:rPr>
                <w:rFonts w:ascii="Times New Roman" w:hAnsi="Times New Roman" w:cs="Times New Roman"/>
              </w:rPr>
            </w:pPr>
            <w:r w:rsidRPr="00A14D86">
              <w:rPr>
                <w:rFonts w:ascii="Times New Roman" w:hAnsi="Times New Roman" w:cs="Times New Roman"/>
              </w:rPr>
              <w:t>TAK</w:t>
            </w:r>
          </w:p>
        </w:tc>
      </w:tr>
    </w:tbl>
    <w:p w:rsidR="00A14D86" w:rsidRPr="00A14D86" w:rsidRDefault="00A14D86" w:rsidP="00A14D86">
      <w:pPr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Źródło: Opracowanie własne.</w:t>
      </w:r>
    </w:p>
    <w:p w:rsidR="00A14D86" w:rsidRPr="00A14D86" w:rsidRDefault="00A14D86" w:rsidP="00A14D86">
      <w:p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Dane w tabeli powyżej wskazują, że w całym okresie prognozy Gmina Czerniejewo spełnia relację, o której mowa w art. 243 ust. 1 ustawy o finansach publicznych. Spełnienie dotyczy zarówno relacji obliczonej na podstawie planu na dzień 30.09.2024 r. jak i w oparciu o dane z wykonania budżetu.</w:t>
      </w:r>
    </w:p>
    <w:p w:rsidR="00A14D86" w:rsidRPr="00A14D86" w:rsidRDefault="00A14D86" w:rsidP="00A14D86">
      <w:p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Zmiana Wieloletniej Prognozy Finansowej Gminy Czerniejewo obejmuje również zmiany w załączniku nr 2, które szczegółowo opisano poniżej.</w:t>
      </w:r>
    </w:p>
    <w:p w:rsidR="00A14D86" w:rsidRPr="00A14D86" w:rsidRDefault="00A14D86" w:rsidP="00A14D86">
      <w:p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Dokonano zmian w zakresie następujących przedsięwzięć:</w:t>
      </w:r>
    </w:p>
    <w:p w:rsidR="00A14D86" w:rsidRPr="00A14D86" w:rsidRDefault="00A14D86" w:rsidP="00A14D8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W zakresie programów, projektów lub zadań innych (finansowanych ze środków krajowych):</w:t>
      </w:r>
    </w:p>
    <w:p w:rsidR="00A14D86" w:rsidRPr="00A14D86" w:rsidRDefault="00A14D86" w:rsidP="00A14D86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Świadczenie usług przewozowych w zakresie publicznego transpor</w:t>
      </w:r>
      <w:r>
        <w:rPr>
          <w:rFonts w:ascii="Times New Roman" w:hAnsi="Times New Roman" w:cs="Times New Roman"/>
        </w:rPr>
        <w:t>t</w:t>
      </w:r>
      <w:r w:rsidRPr="00A14D86">
        <w:rPr>
          <w:rFonts w:ascii="Times New Roman" w:hAnsi="Times New Roman" w:cs="Times New Roman"/>
        </w:rPr>
        <w:t>u zbiorowego w gminnych przewozach pasażerskich – zmiana w przedsięwzięciu obejmuje m.in.:</w:t>
      </w:r>
    </w:p>
    <w:p w:rsidR="00A14D86" w:rsidRPr="00A14D86" w:rsidRDefault="00A14D86" w:rsidP="00A14D86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zwiększenie limitu zobowiązań na realizację zadania o kwotę 440 452,81 zł.</w:t>
      </w:r>
    </w:p>
    <w:p w:rsidR="00A14D86" w:rsidRPr="00A14D86" w:rsidRDefault="00A14D86" w:rsidP="00A14D86">
      <w:p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Zmiany wprowadzone w wykazie wieloletnich przedsięwzięć nie spowodowały zmiany horyzontu czasowego załącznika nr 2 WPF.</w:t>
      </w:r>
    </w:p>
    <w:p w:rsidR="00A14D86" w:rsidRPr="00A14D86" w:rsidRDefault="00A14D86" w:rsidP="00A14D86">
      <w:p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A14D86" w:rsidRPr="00A14D86" w:rsidRDefault="00A14D86" w:rsidP="00A14D86">
      <w:pPr>
        <w:jc w:val="both"/>
        <w:rPr>
          <w:rFonts w:ascii="Times New Roman" w:hAnsi="Times New Roman" w:cs="Times New Roman"/>
        </w:rPr>
      </w:pPr>
      <w:r w:rsidRPr="00A14D86">
        <w:rPr>
          <w:rFonts w:ascii="Times New Roman" w:hAnsi="Times New Roman" w:cs="Times New Roman"/>
        </w:rPr>
        <w:t>Pełen zakres zmian obrazują załączniki nr 1 i 2 do niniejszej uchwały.</w:t>
      </w:r>
    </w:p>
    <w:p w:rsidR="00A14D86" w:rsidRPr="00A14D86" w:rsidRDefault="00A14D86" w:rsidP="00A14D86">
      <w:pPr>
        <w:rPr>
          <w:rFonts w:ascii="Times New Roman" w:hAnsi="Times New Roman" w:cs="Times New Roman"/>
        </w:rPr>
      </w:pPr>
    </w:p>
    <w:p w:rsidR="00A14D86" w:rsidRPr="00A14D86" w:rsidRDefault="00A14D86" w:rsidP="00A14D86">
      <w:pPr>
        <w:rPr>
          <w:rFonts w:ascii="Times New Roman" w:hAnsi="Times New Roman" w:cs="Times New Roman"/>
        </w:rPr>
      </w:pPr>
    </w:p>
    <w:p w:rsidR="00E01AAA" w:rsidRPr="00A14D86" w:rsidRDefault="00E01AAA">
      <w:pPr>
        <w:rPr>
          <w:rFonts w:ascii="Times New Roman" w:hAnsi="Times New Roman" w:cs="Times New Roman"/>
        </w:rPr>
      </w:pPr>
    </w:p>
    <w:sectPr w:rsidR="00E01AAA" w:rsidRPr="00A14D86" w:rsidSect="00A14D86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551430036">
    <w:abstractNumId w:val="0"/>
  </w:num>
  <w:num w:numId="2" w16cid:durableId="95635598">
    <w:abstractNumId w:val="1"/>
  </w:num>
  <w:num w:numId="3" w16cid:durableId="712537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86"/>
    <w:rsid w:val="00315431"/>
    <w:rsid w:val="0046314C"/>
    <w:rsid w:val="00A14D86"/>
    <w:rsid w:val="00AB7332"/>
    <w:rsid w:val="00BE0E12"/>
    <w:rsid w:val="00E01AAA"/>
    <w:rsid w:val="00E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C8867-4B73-4B83-9B41-D33BFB31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4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4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4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4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4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4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4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4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4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4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4D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4D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D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4D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4D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4D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4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4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4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4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4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4D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4D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4D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4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4D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4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3</cp:revision>
  <dcterms:created xsi:type="dcterms:W3CDTF">2025-03-12T08:29:00Z</dcterms:created>
  <dcterms:modified xsi:type="dcterms:W3CDTF">2025-03-12T09:06:00Z</dcterms:modified>
</cp:coreProperties>
</file>