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keepNext w:val="1"/>
        <w:widowControl w:val="1"/>
      </w:pPr>
      <w:r>
        <w:t>Objaśnienia przyjętych wartości do Wieloletniej Prognozy Finansowej Gminy Czerniejewo na lata 2025-2033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Zgodnie ze zmianami w budżecie na dzień 29 stycznia 2025 r., dokonano następujących zmian w Wieloletniej Prognozie Finansowej Gminy Czerniejewo:</w:t>
      </w:r>
    </w:p>
    <w:p>
      <w:pPr>
        <w:pStyle w:val="P9"/>
        <w:widowControl w:val="1"/>
        <w:numPr>
          <w:ilvl w:val="0"/>
          <w:numId w:val="1"/>
        </w:numPr>
        <w:rPr>
          <w:bCs w:val="1"/>
        </w:rPr>
      </w:pPr>
      <w:r>
        <w:rPr>
          <w:bCs w:val="1"/>
        </w:rPr>
        <w:t>Dochody ogółem zwiększono o 937 919,98 zł, z czego dochody bieżące zwiększono o 937 919,98 zł, a dochody majątkowe nie uległy zmianie.</w:t>
      </w:r>
    </w:p>
    <w:p>
      <w:pPr>
        <w:pStyle w:val="P9"/>
        <w:widowControl w:val="1"/>
        <w:numPr>
          <w:ilvl w:val="0"/>
          <w:numId w:val="1"/>
        </w:numPr>
        <w:rPr>
          <w:bCs w:val="1"/>
        </w:rPr>
      </w:pPr>
      <w:r>
        <w:rPr>
          <w:bCs w:val="1"/>
        </w:rPr>
        <w:t>Wydatki ogółem zwiększono o 937 919,98 zł, z czego wydatki bieżące zwiększono o 937 919,98 zł, a wydatki majątkowe nie uległy zmianie.</w:t>
      </w:r>
    </w:p>
    <w:p>
      <w:pPr>
        <w:pStyle w:val="P9"/>
        <w:widowControl w:val="1"/>
        <w:numPr>
          <w:ilvl w:val="0"/>
          <w:numId w:val="1"/>
        </w:numPr>
        <w:rPr>
          <w:bCs w:val="1"/>
        </w:rPr>
      </w:pPr>
      <w:r>
        <w:rPr>
          <w:bCs w:val="1"/>
        </w:rPr>
        <w:t>Wynik budżetu nie uległ zmianie.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Szczegółowe informacje na temat zmian w zakresie dochodów, wydatków i wyniku budżetu w roku budżetowym przedstawiono w tabeli poniżej.</w:t>
      </w:r>
    </w:p>
    <w:p>
      <w:pPr>
        <w:pStyle w:val="P7"/>
        <w:keepNext w:val="1"/>
        <w:widowControl w:val="1"/>
      </w:pPr>
      <w:r>
        <w:t>Tabela 1. Zmiany w dochodach i wydatkach w 2025 roku</w:t>
      </w:r>
    </w:p>
    <w:tbl>
      <w:tblPr>
        <w:tblStyle w:val="T1"/>
        <w:tblW w:w="9072" w:type="dxa"/>
        <w:tblInd w:w="0" w:type="dxa"/>
        <w:tblLook w:val="04A0"/>
      </w:tblPr>
      <w:tblGrid>
        <w:gridCol w:w="2268"/>
        <w:gridCol w:w="2268"/>
        <w:gridCol w:w="2268"/>
        <w:gridCol w:w="2268"/>
      </w:tblGrid>
      <w:tr>
        <w:trPr>
          <w:tblHeader/>
        </w:trP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Wyszczególnienie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Po zmianie [zł]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Dochody ogółem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61 315 587,80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+937 919,98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62 253 507,78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Dochody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46 577 528,50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+937 919,98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47 515 448,48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rPr>
                <w:bCs w:val="1"/>
              </w:rPr>
            </w:pPr>
            <w:r>
              <w:rPr>
                <w:bCs w:val="1"/>
              </w:rPr>
              <w:t>Dotacje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3 178 681,50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+937 919,98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4 116 601,48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Wydatki ogółem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65 130 554,77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+937 919,98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66 068 474,75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Wydatki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45 175 872,52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+937 919,98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46 113 792,50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rPr>
                <w:bCs w:val="1"/>
              </w:rPr>
            </w:pPr>
            <w:r>
              <w:rPr>
                <w:bCs w:val="1"/>
              </w:rPr>
              <w:t>Pozostałe wydatki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18 683 737,66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+937 919,98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19 621 657,64</w:t>
            </w:r>
          </w:p>
        </w:tc>
      </w:tr>
    </w:tbl>
    <w:p>
      <w:pPr>
        <w:pStyle w:val="P8"/>
        <w:widowControl w:val="1"/>
        <w:rPr>
          <w:bCs w:val="1"/>
        </w:rPr>
      </w:pPr>
      <w:r>
        <w:rPr>
          <w:bCs w:val="1"/>
        </w:rPr>
        <w:t>Źródło: opracowanie własne.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Od 2026 r. nie dokonywano zmian w zakresie planowanych dochodów i wydatków budżetowych.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W Wieloletniej Prognozie Finansowej Gminy Czerniejewo:</w:t>
      </w:r>
    </w:p>
    <w:p>
      <w:pPr>
        <w:pStyle w:val="P9"/>
        <w:widowControl w:val="1"/>
        <w:numPr>
          <w:ilvl w:val="0"/>
          <w:numId w:val="2"/>
        </w:numPr>
        <w:rPr>
          <w:bCs w:val="1"/>
        </w:rPr>
      </w:pPr>
      <w:r>
        <w:rPr>
          <w:bCs w:val="1"/>
        </w:rPr>
        <w:t>Przychody ogółem w roku budżetowym nie uległy zmianie.</w:t>
      </w:r>
    </w:p>
    <w:p>
      <w:pPr>
        <w:pStyle w:val="P9"/>
        <w:widowControl w:val="1"/>
        <w:numPr>
          <w:ilvl w:val="0"/>
          <w:numId w:val="2"/>
        </w:numPr>
        <w:rPr>
          <w:bCs w:val="1"/>
        </w:rPr>
      </w:pPr>
      <w:r>
        <w:rPr>
          <w:bCs w:val="1"/>
        </w:rPr>
        <w:t>Rozchody ogółem w roku budżetowym nie uległy zmianie.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Od 2026 nie dokonywano zmian w zakresie planowanych przychodów.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Od 2026 nie dokonywano zmian w zakresie planowanych rozchodów.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W zakresie zawartych umów, rozchody Gminy Czerniejewo zaplanowano zgodnie z harmonogramami. W tabeli poniżej spłatę ww. zobowiązań przedstawiono w kolumnie „Zobowiązanie historyczne”.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Spłatę zobowiązania planowanego do zaciągnięcia ujęto w latach 2026-2033. W tabeli poniżej spłatę ww. zobowiązań przedstawiono w kolumnie „Zobowiązanie planowane”.</w:t>
      </w:r>
    </w:p>
    <w:p>
      <w:pPr>
        <w:pStyle w:val="P7"/>
        <w:keepNext w:val="1"/>
        <w:widowControl w:val="1"/>
      </w:pPr>
      <w:r>
        <w:t>Tabela 2. Spłata zaciągniętych i planowanych zobowiązań Gminy Czerniejewo</w:t>
      </w:r>
    </w:p>
    <w:tbl>
      <w:tblPr>
        <w:tblStyle w:val="T1"/>
        <w:tblW w:w="9072" w:type="dxa"/>
        <w:tblInd w:w="0" w:type="dxa"/>
        <w:tblLook w:val="04A0"/>
      </w:tblPr>
      <w:tblGrid>
        <w:gridCol w:w="1296"/>
        <w:gridCol w:w="2592"/>
        <w:gridCol w:w="2592"/>
        <w:gridCol w:w="2592"/>
      </w:tblGrid>
      <w:tr>
        <w:trPr>
          <w:tblHeader/>
        </w:trPr>
        <w:tc>
          <w:tcPr>
            <w:tcW w:w="12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Rok</w:t>
            </w:r>
          </w:p>
        </w:tc>
        <w:tc>
          <w:tcPr>
            <w:tcW w:w="25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Zobowiązanie historyczne [zł]</w:t>
            </w:r>
          </w:p>
        </w:tc>
        <w:tc>
          <w:tcPr>
            <w:tcW w:w="25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Zobowiązanie planowane [zł]</w:t>
            </w:r>
          </w:p>
        </w:tc>
        <w:tc>
          <w:tcPr>
            <w:tcW w:w="25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Zobowiązania razem [zł]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2025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672 233,00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672 233,00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2026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1 054 237,89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410 000,00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1 464 237,89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2027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300 000,00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410 000,00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710 000,00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300 000,00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410 000,00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710 000,00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2029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300 000,00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410 000,00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710 000,00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300 000,00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410 000,00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710 000,00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2031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300 000,00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410 000,00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710 000,00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2032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300 000,00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410 000,00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710 000,00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401 190,00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1 039 360,37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1 440 550,37</w:t>
            </w:r>
          </w:p>
        </w:tc>
      </w:tr>
    </w:tbl>
    <w:p>
      <w:pPr>
        <w:pStyle w:val="P8"/>
        <w:widowControl w:val="1"/>
        <w:rPr>
          <w:bCs w:val="1"/>
        </w:rPr>
      </w:pPr>
      <w:r>
        <w:rPr>
          <w:bCs w:val="1"/>
        </w:rPr>
        <w:t>Źródło: Opracowanie własne.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Zmiany w Wieloletniej Prognozie Finansowej Gminy Czerniejewo na lata 2025-2033 spowodowały modyfikacje w kształtowaniu się relacji z art. 243 ustawy o finansach publicznych. Szczegóły zaprezentowano w tabeli poniżej.</w:t>
      </w:r>
    </w:p>
    <w:p>
      <w:pPr>
        <w:pStyle w:val="P7"/>
        <w:keepNext w:val="1"/>
        <w:widowControl w:val="1"/>
      </w:pPr>
      <w:r>
        <w:t>Tabela 3. Kształtowanie się relacji z art. 243 ust. 1 ustawy o finansach publicznych</w:t>
      </w:r>
    </w:p>
    <w:tbl>
      <w:tblPr>
        <w:tblStyle w:val="T1"/>
        <w:tblW w:w="9072" w:type="dxa"/>
        <w:tblInd w:w="0" w:type="dxa"/>
        <w:tblLook w:val="04A0"/>
      </w:tblPr>
      <w:tblGrid>
        <w:gridCol w:w="825"/>
        <w:gridCol w:w="1649"/>
        <w:gridCol w:w="1650"/>
        <w:gridCol w:w="1649"/>
        <w:gridCol w:w="1650"/>
        <w:gridCol w:w="1649"/>
      </w:tblGrid>
      <w:tr>
        <w:trPr>
          <w:tblHeader/>
        </w:trPr>
        <w:tc>
          <w:tcPr>
            <w:tcW w:w="8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Rok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Obsługa zadłużenia (fakt. i plan. po wyłączeniach)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Zachowanie relacji z art. 243 (w oparciu o plan po III kwartale)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Zachowanie relacji z art. 243 (w oparciu o wykonanie)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2025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2,10%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14,05%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14,25%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2026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4,01%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12,77%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12,97%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2027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2,07%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10,74%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10,94%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2028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1,91%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8,45%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8,65%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2029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1,76%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6,17%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6,37%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2030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1,64%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4,40%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4,60%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2031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1,54%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3,50%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3,70%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2032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1,46%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3,21%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3,21%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2033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2,73%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3,73%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3,73%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</w:tbl>
    <w:p>
      <w:pPr>
        <w:pStyle w:val="P8"/>
        <w:widowControl w:val="1"/>
        <w:rPr>
          <w:bCs w:val="1"/>
        </w:rPr>
      </w:pPr>
      <w:r>
        <w:rPr>
          <w:bCs w:val="1"/>
        </w:rPr>
        <w:t>Źródło: Opracowanie własne.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30.09.2024 r. jak i w oparciu o kolumnę „2024 przewidywane wykonanie”.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Zmiana Wieloletniej Prognozy Finansowej Gminy Czerniejewo obejmuje również zmiany w załączniku nr 2, które szczegółowo opisano poniżej.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Do załącznika przedsięwzięć dodano następujące przedsięwzięcia:</w:t>
      </w:r>
    </w:p>
    <w:p>
      <w:pPr>
        <w:pStyle w:val="P9"/>
        <w:widowControl w:val="1"/>
        <w:numPr>
          <w:ilvl w:val="0"/>
          <w:numId w:val="3"/>
        </w:numPr>
        <w:rPr>
          <w:bCs w:val="1"/>
        </w:rPr>
      </w:pPr>
      <w:r>
        <w:rPr>
          <w:bCs w:val="1"/>
        </w:rPr>
        <w:t>Świadczenie usług przewozowych w zakresie publicznego transporu zbiorowego w gminnych przewozach pasażerskich – zadanie bieżące, które ma być realizowane w latach 2025-2028. Łączne nakłady planowane na realizację zadania wynoszą 440 452,81 zł, w tym w 2025 r. ‒ 108 254,23 zł. Limit zobowiązań dla zadania wynosi 0,00 zł. Jednostką realizującą jest Urząd Miasta i Gminy Czerniejewo.</w:t>
      </w:r>
    </w:p>
    <w:p>
      <w:pPr>
        <w:pStyle w:val="P9"/>
        <w:widowControl w:val="1"/>
        <w:numPr>
          <w:ilvl w:val="0"/>
          <w:numId w:val="3"/>
        </w:numPr>
        <w:rPr>
          <w:bCs w:val="1"/>
        </w:rPr>
      </w:pPr>
      <w:r>
        <w:rPr>
          <w:bCs w:val="1"/>
        </w:rPr>
        <w:t>Konserwacja dwóch ołtarzy w Kościele Parafialnym p.w. św. Stanisława Biskupa i Męczennika w Żydowie. środki Rządowego Programu Odbudowy Zabytków – zadanie majątkowe, które ma być realizowane w latach 2024-2025. Łączne nakłady planowane na realizację zadania wynoszą 339 769,36 zł, w tym w 2025 r. ‒ 332 634,20 zł. Limit zobowiązań dla zadania wynosi 0,00 zł. Jednostką realizującą jest Urząd Miasta i Gminy Czerniejewo.</w:t>
      </w:r>
    </w:p>
    <w:p>
      <w:pPr>
        <w:pStyle w:val="P9"/>
        <w:widowControl w:val="1"/>
        <w:numPr>
          <w:ilvl w:val="0"/>
          <w:numId w:val="3"/>
        </w:numPr>
        <w:rPr>
          <w:bCs w:val="1"/>
        </w:rPr>
      </w:pPr>
      <w:r>
        <w:rPr>
          <w:bCs w:val="1"/>
        </w:rPr>
        <w:t>Prace konserwatorskie wnętrza i wyposażenie Kościoła p.w. św. Jana Chrzciciela z XVI wieku w Czerniejewie. Środki Rządowego Programu Odbudowy Zabytków – zadanie majątkowe, które ma być realizowane w latach 2024-2025. Łączne nakłady planowane na realizację zadania wynoszą 345 000,00 zł, w tym w 2025 r. ‒ 338 100,00 zł. Limit zobowiązań dla zadania wynosi 0,00 zł. Jednostką realizującą jest Urząd Miasta i Gminy Czerniejewo.</w:t>
      </w:r>
    </w:p>
    <w:p>
      <w:pPr>
        <w:pStyle w:val="P9"/>
        <w:widowControl w:val="1"/>
        <w:numPr>
          <w:ilvl w:val="0"/>
          <w:numId w:val="3"/>
        </w:numPr>
        <w:rPr>
          <w:bCs w:val="1"/>
        </w:rPr>
      </w:pPr>
      <w:r>
        <w:rPr>
          <w:bCs w:val="1"/>
        </w:rPr>
        <w:t>Wykonanie renowacji posadzki prezbiterium, kaplic, zakrystii, wzmocnienie podłoża w Kościele Parafialnym p.w. Stanisława Biskupa i Męczennika w Żydowie. Środki Rządowego Programu Odbudowy Zabytkó – zadanie majątkowe, które ma być realizowane w latach 2024-2025. Łączne nakłady planowane na realizację zadania wynoszą 348 000,00 zł, w tym w 2025 r. ‒ 341 040,00 zł. Limit zobowiązań dla zadania wynosi 0,00 zł. Jednostką realizującą jest Urząd Miasta i Gminy Czerniejewo.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Zmiany wprowadzone w wykazie wieloletnich przedsięwzięć nie spowodowały zmiany horyzontu czasowego załącznika nr 2 WPF.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Zmiany wprowadzone w wykazie wieloletnich przedsięwzięć wpłynęły na zmianę pozycji 10.1.1 i 10.1.2 WPF, co przedstawiono w tabelach poniżej.</w:t>
      </w:r>
    </w:p>
    <w:p>
      <w:pPr>
        <w:pStyle w:val="P7"/>
        <w:keepNext w:val="1"/>
        <w:widowControl w:val="1"/>
      </w:pPr>
      <w:r>
        <w:t>Tabela 4. Zmiany w wydatkach bieżących objętych limitem z art. 226 ust. 3 pkt 4</w:t>
      </w:r>
    </w:p>
    <w:tbl>
      <w:tblPr>
        <w:tblStyle w:val="T1"/>
        <w:tblW w:w="9072" w:type="dxa"/>
        <w:tblInd w:w="0" w:type="dxa"/>
        <w:tblLook w:val="04A0"/>
      </w:tblPr>
      <w:tblGrid>
        <w:gridCol w:w="2268"/>
        <w:gridCol w:w="2268"/>
        <w:gridCol w:w="2268"/>
        <w:gridCol w:w="2268"/>
      </w:tblGrid>
      <w:tr>
        <w:trPr>
          <w:tblHeader/>
        </w:trP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Rok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Po zmianie [zł]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2025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205 035,19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+108 254,23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313 289,42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2026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131 713,69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+110 732,86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242 446,55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2027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32 559,81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+110 732,86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143 292,67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2028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+110 732,86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110 732,86</w:t>
            </w:r>
          </w:p>
        </w:tc>
      </w:tr>
    </w:tbl>
    <w:p>
      <w:pPr>
        <w:pStyle w:val="P8"/>
        <w:widowControl w:val="1"/>
        <w:rPr>
          <w:bCs w:val="1"/>
        </w:rPr>
      </w:pPr>
      <w:r>
        <w:rPr>
          <w:bCs w:val="1"/>
        </w:rPr>
        <w:t>Źródło: opracowanie własne.</w:t>
      </w:r>
    </w:p>
    <w:p>
      <w:pPr>
        <w:pStyle w:val="P7"/>
        <w:keepNext w:val="1"/>
        <w:widowControl w:val="1"/>
      </w:pPr>
      <w:r>
        <w:t>Tabela 5. Zmiany w wydatkach majątkowych objętych limitem z art. 226 ust. 3 pkt 4</w:t>
      </w:r>
    </w:p>
    <w:tbl>
      <w:tblPr>
        <w:tblStyle w:val="T1"/>
        <w:tblW w:w="9072" w:type="dxa"/>
        <w:tblInd w:w="0" w:type="dxa"/>
        <w:tblLook w:val="04A0"/>
      </w:tblPr>
      <w:tblGrid>
        <w:gridCol w:w="2268"/>
        <w:gridCol w:w="2268"/>
        <w:gridCol w:w="2268"/>
        <w:gridCol w:w="2268"/>
      </w:tblGrid>
      <w:tr>
        <w:trPr>
          <w:tblHeader/>
        </w:trP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Rok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Po zmianie [zł]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2025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10 507 315,47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+1 011 774,20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11 519 089,67</w:t>
            </w:r>
          </w:p>
        </w:tc>
      </w:tr>
    </w:tbl>
    <w:p>
      <w:pPr>
        <w:pStyle w:val="P8"/>
        <w:widowControl w:val="1"/>
        <w:rPr>
          <w:bCs w:val="1"/>
        </w:rPr>
      </w:pPr>
      <w:r>
        <w:rPr>
          <w:bCs w:val="1"/>
        </w:rPr>
        <w:t>Źródło: opracowanie własne.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Pełen zakres zmian obrazują załączniki nr 1 i 2 do niniejszej uchwały.</w:t>
      </w:r>
    </w:p>
    <w:sectPr>
      <w:type w:val="nextPage"/>
      <w:pgSz w:w="11906" w:h="16838" w:code="0"/>
      <w:pgMar w:left="1417" w:right="1417" w:top="992" w:bottom="992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FD4CFC"/>
    <w:multiLevelType w:val="hybridMultilevel"/>
    <w:lvl w:ilvl="0" w:tplc="6C8A3CB2">
      <w:start w:val="1"/>
      <w:numFmt w:val="decimal"/>
      <w:suff w:val="tab"/>
      <w:lvlText w:val="%1."/>
      <w:lvlJc w:val="left"/>
      <w:pPr>
        <w:widowControl w:val="0"/>
        <w:ind w:hanging="425" w:left="709"/>
      </w:pPr>
      <w:rPr/>
    </w:lvl>
    <w:lvl w:ilvl="1" w:tplc="00D58DA7">
      <w:start w:val="1"/>
      <w:numFmt w:val="decimal"/>
      <w:suff w:val="tab"/>
      <w:lvlText w:val="%1."/>
      <w:lvlJc w:val="left"/>
      <w:pPr>
        <w:widowControl w:val="0"/>
        <w:ind w:hanging="425" w:left="1417"/>
      </w:pPr>
      <w:rPr/>
    </w:lvl>
    <w:lvl w:ilvl="2" w:tplc="563C56D2">
      <w:start w:val="1"/>
      <w:numFmt w:val="decimal"/>
      <w:suff w:val="tab"/>
      <w:lvlText w:val="%1."/>
      <w:lvlJc w:val="left"/>
      <w:pPr>
        <w:widowControl w:val="0"/>
        <w:ind w:hanging="425" w:left="2126"/>
      </w:pPr>
      <w:rPr/>
    </w:lvl>
    <w:lvl w:ilvl="3" w:tplc="4ECEFAB6">
      <w:start w:val="1"/>
      <w:numFmt w:val="decimal"/>
      <w:suff w:val="tab"/>
      <w:lvlText w:val="%1."/>
      <w:lvlJc w:val="left"/>
      <w:pPr>
        <w:widowControl w:val="0"/>
      </w:pPr>
      <w:rPr/>
    </w:lvl>
    <w:lvl w:ilvl="4" w:tplc="5E981AE6">
      <w:start w:val="1"/>
      <w:numFmt w:val="decimal"/>
      <w:suff w:val="tab"/>
      <w:lvlText w:val="%1."/>
      <w:lvlJc w:val="left"/>
      <w:pPr>
        <w:widowControl w:val="0"/>
      </w:pPr>
      <w:rPr/>
    </w:lvl>
    <w:lvl w:ilvl="5" w:tplc="2B4836C2">
      <w:start w:val="1"/>
      <w:numFmt w:val="decimal"/>
      <w:suff w:val="tab"/>
      <w:lvlText w:val="%1."/>
      <w:lvlJc w:val="left"/>
      <w:pPr>
        <w:widowControl w:val="0"/>
      </w:pPr>
      <w:rPr/>
    </w:lvl>
    <w:lvl w:ilvl="6" w:tplc="00071DBA">
      <w:start w:val="1"/>
      <w:numFmt w:val="decimal"/>
      <w:suff w:val="tab"/>
      <w:lvlText w:val="%1."/>
      <w:lvlJc w:val="left"/>
      <w:pPr>
        <w:widowControl w:val="0"/>
      </w:pPr>
      <w:rPr/>
    </w:lvl>
    <w:lvl w:ilvl="7" w:tplc="12A0D08B">
      <w:start w:val="1"/>
      <w:numFmt w:val="decimal"/>
      <w:suff w:val="tab"/>
      <w:lvlText w:val="%1."/>
      <w:lvlJc w:val="left"/>
      <w:pPr>
        <w:widowControl w:val="0"/>
      </w:pPr>
      <w:rPr/>
    </w:lvl>
    <w:lvl w:ilvl="8" w:tplc="7D1F7465">
      <w:start w:val="1"/>
      <w:numFmt w:val="decimal"/>
      <w:suff w:val="tab"/>
      <w:lvlText w:val="%1."/>
      <w:lvlJc w:val="left"/>
      <w:pPr>
        <w:widowControl w:val="0"/>
      </w:pPr>
      <w:rPr/>
    </w:lvl>
  </w:abstractNum>
  <w:abstractNum w:abstractNumId="1">
    <w:nsid w:val="7CA9D929"/>
    <w:multiLevelType w:val="hybridMultilevel"/>
    <w:lvl w:ilvl="0" w:tplc="3070AE57">
      <w:start w:val="1"/>
      <w:numFmt w:val="decimal"/>
      <w:suff w:val="tab"/>
      <w:lvlText w:val="%1."/>
      <w:lvlJc w:val="left"/>
      <w:pPr>
        <w:widowControl w:val="0"/>
        <w:ind w:hanging="425" w:left="709"/>
      </w:pPr>
      <w:rPr/>
    </w:lvl>
    <w:lvl w:ilvl="1" w:tplc="14319E1A">
      <w:start w:val="1"/>
      <w:numFmt w:val="decimal"/>
      <w:suff w:val="tab"/>
      <w:lvlText w:val="%1."/>
      <w:lvlJc w:val="left"/>
      <w:pPr>
        <w:widowControl w:val="0"/>
        <w:ind w:hanging="425" w:left="1417"/>
      </w:pPr>
      <w:rPr/>
    </w:lvl>
    <w:lvl w:ilvl="2" w:tplc="712D565E">
      <w:start w:val="1"/>
      <w:numFmt w:val="decimal"/>
      <w:suff w:val="tab"/>
      <w:lvlText w:val="%1."/>
      <w:lvlJc w:val="left"/>
      <w:pPr>
        <w:widowControl w:val="0"/>
        <w:ind w:hanging="425" w:left="2126"/>
      </w:pPr>
      <w:rPr/>
    </w:lvl>
    <w:lvl w:ilvl="3" w:tplc="0333C014">
      <w:start w:val="1"/>
      <w:numFmt w:val="decimal"/>
      <w:suff w:val="tab"/>
      <w:lvlText w:val="%1."/>
      <w:lvlJc w:val="left"/>
      <w:pPr>
        <w:widowControl w:val="0"/>
      </w:pPr>
      <w:rPr/>
    </w:lvl>
    <w:lvl w:ilvl="4" w:tplc="7A236538">
      <w:start w:val="1"/>
      <w:numFmt w:val="decimal"/>
      <w:suff w:val="tab"/>
      <w:lvlText w:val="%1."/>
      <w:lvlJc w:val="left"/>
      <w:pPr>
        <w:widowControl w:val="0"/>
      </w:pPr>
      <w:rPr/>
    </w:lvl>
    <w:lvl w:ilvl="5" w:tplc="06045D07">
      <w:start w:val="1"/>
      <w:numFmt w:val="decimal"/>
      <w:suff w:val="tab"/>
      <w:lvlText w:val="%1."/>
      <w:lvlJc w:val="left"/>
      <w:pPr>
        <w:widowControl w:val="0"/>
      </w:pPr>
      <w:rPr/>
    </w:lvl>
    <w:lvl w:ilvl="6" w:tplc="490888AA">
      <w:start w:val="1"/>
      <w:numFmt w:val="decimal"/>
      <w:suff w:val="tab"/>
      <w:lvlText w:val="%1."/>
      <w:lvlJc w:val="left"/>
      <w:pPr>
        <w:widowControl w:val="0"/>
      </w:pPr>
      <w:rPr/>
    </w:lvl>
    <w:lvl w:ilvl="7" w:tplc="664A0292">
      <w:start w:val="1"/>
      <w:numFmt w:val="decimal"/>
      <w:suff w:val="tab"/>
      <w:lvlText w:val="%1."/>
      <w:lvlJc w:val="left"/>
      <w:pPr>
        <w:widowControl w:val="0"/>
      </w:pPr>
      <w:rPr/>
    </w:lvl>
    <w:lvl w:ilvl="8" w:tplc="205C18F4">
      <w:start w:val="1"/>
      <w:numFmt w:val="decimal"/>
      <w:suff w:val="tab"/>
      <w:lvlText w:val="%1."/>
      <w:lvlJc w:val="left"/>
      <w:pPr>
        <w:widowControl w:val="0"/>
      </w:pPr>
      <w:rPr/>
    </w:lvl>
  </w:abstractNum>
  <w:abstractNum w:abstractNumId="2">
    <w:nsid w:val="5DD6C3A0"/>
    <w:multiLevelType w:val="hybridMultilevel"/>
    <w:lvl w:ilvl="0" w:tplc="30556BD9">
      <w:start w:val="1"/>
      <w:numFmt w:val="decimal"/>
      <w:suff w:val="tab"/>
      <w:lvlText w:val="%1."/>
      <w:lvlJc w:val="left"/>
      <w:pPr>
        <w:widowControl w:val="0"/>
        <w:ind w:hanging="425" w:left="709"/>
      </w:pPr>
      <w:rPr/>
    </w:lvl>
    <w:lvl w:ilvl="1" w:tplc="6E6D2F7F">
      <w:start w:val="1"/>
      <w:numFmt w:val="decimal"/>
      <w:suff w:val="tab"/>
      <w:lvlText w:val="%1."/>
      <w:lvlJc w:val="left"/>
      <w:pPr>
        <w:widowControl w:val="0"/>
        <w:ind w:hanging="425" w:left="1417"/>
      </w:pPr>
      <w:rPr/>
    </w:lvl>
    <w:lvl w:ilvl="2" w:tplc="377648E4">
      <w:start w:val="1"/>
      <w:numFmt w:val="decimal"/>
      <w:suff w:val="tab"/>
      <w:lvlText w:val="%1."/>
      <w:lvlJc w:val="left"/>
      <w:pPr>
        <w:widowControl w:val="0"/>
        <w:ind w:hanging="425" w:left="2126"/>
      </w:pPr>
      <w:rPr/>
    </w:lvl>
    <w:lvl w:ilvl="3" w:tplc="45EFEB3C">
      <w:start w:val="1"/>
      <w:numFmt w:val="decimal"/>
      <w:suff w:val="tab"/>
      <w:lvlText w:val="%1."/>
      <w:lvlJc w:val="left"/>
      <w:pPr>
        <w:widowControl w:val="0"/>
      </w:pPr>
      <w:rPr/>
    </w:lvl>
    <w:lvl w:ilvl="4" w:tplc="368AFD6F">
      <w:start w:val="1"/>
      <w:numFmt w:val="decimal"/>
      <w:suff w:val="tab"/>
      <w:lvlText w:val="%1."/>
      <w:lvlJc w:val="left"/>
      <w:pPr>
        <w:widowControl w:val="0"/>
      </w:pPr>
      <w:rPr/>
    </w:lvl>
    <w:lvl w:ilvl="5" w:tplc="079403DB">
      <w:start w:val="1"/>
      <w:numFmt w:val="decimal"/>
      <w:suff w:val="tab"/>
      <w:lvlText w:val="%1."/>
      <w:lvlJc w:val="left"/>
      <w:pPr>
        <w:widowControl w:val="0"/>
      </w:pPr>
      <w:rPr/>
    </w:lvl>
    <w:lvl w:ilvl="6" w:tplc="537C3AC1">
      <w:start w:val="1"/>
      <w:numFmt w:val="decimal"/>
      <w:suff w:val="tab"/>
      <w:lvlText w:val="%1."/>
      <w:lvlJc w:val="left"/>
      <w:pPr>
        <w:widowControl w:val="0"/>
      </w:pPr>
      <w:rPr/>
    </w:lvl>
    <w:lvl w:ilvl="7" w:tplc="47CEE8FC">
      <w:start w:val="1"/>
      <w:numFmt w:val="decimal"/>
      <w:suff w:val="tab"/>
      <w:lvlText w:val="%1."/>
      <w:lvlJc w:val="left"/>
      <w:pPr>
        <w:widowControl w:val="0"/>
      </w:pPr>
      <w:rPr/>
    </w:lvl>
    <w:lvl w:ilvl="8" w:tplc="74E677F1">
      <w:start w:val="1"/>
      <w:numFmt w:val="decimal"/>
      <w:suff w:val="tab"/>
      <w:lvlText w:val="%1."/>
      <w:lvlJc w:val="left"/>
      <w:pPr>
        <w:widowControl w:val="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>
      <w:widowControl w:val="0"/>
    </w:pPr>
    <w:rPr/>
  </w:style>
  <w:style w:type="paragraph" w:styleId="P1">
    <w:name w:val="Tytuł (Publink)"/>
    <w:basedOn w:val="P0"/>
    <w:pPr>
      <w:spacing w:before="160" w:after="320"/>
      <w:jc w:val="center"/>
    </w:pPr>
    <w:rPr>
      <w:rFonts w:ascii="Arial" w:hAnsi="Arial" w:cs="Arial"/>
      <w:b w:val="1"/>
      <w:bCs w:val="1"/>
      <w:sz w:val="32"/>
      <w:szCs w:val="32"/>
    </w:rPr>
  </w:style>
  <w:style w:type="paragraph" w:styleId="P2">
    <w:name w:val="Podtytuł (Publink)"/>
    <w:basedOn w:val="P0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styleId="P3">
    <w:name w:val="Tekst (Publink)"/>
    <w:basedOn w:val="P0"/>
    <w:pPr>
      <w:spacing w:after="160"/>
      <w:jc w:val="both"/>
    </w:pPr>
    <w:rPr>
      <w:rFonts w:ascii="Arial" w:hAnsi="Arial" w:cs="Arial"/>
      <w:sz w:val="20"/>
      <w:szCs w:val="20"/>
    </w:rPr>
  </w:style>
  <w:style w:type="paragraph" w:styleId="P4">
    <w:name w:val="Nagłówek 1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  <w:sz w:val="28"/>
      <w:szCs w:val="28"/>
    </w:rPr>
  </w:style>
  <w:style w:type="paragraph" w:styleId="P5">
    <w:name w:val="Nagłówek 2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  <w:sz w:val="24"/>
      <w:szCs w:val="24"/>
    </w:rPr>
  </w:style>
  <w:style w:type="paragraph" w:styleId="P6">
    <w:name w:val="Nagłówek 3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</w:rPr>
  </w:style>
  <w:style w:type="paragraph" w:styleId="P7">
    <w:name w:val="Podpis tabeli (Publink)"/>
    <w:basedOn w:val="P3"/>
    <w:pPr>
      <w:spacing w:before="160" w:after="0"/>
      <w:jc w:val="left"/>
    </w:pPr>
    <w:rPr>
      <w:b w:val="1"/>
      <w:bCs w:val="1"/>
    </w:rPr>
  </w:style>
  <w:style w:type="paragraph" w:styleId="P8">
    <w:name w:val="Podpis tabeli 2 (Publink)"/>
    <w:basedOn w:val="P3"/>
    <w:pPr>
      <w:contextualSpacing w:val="1"/>
      <w:jc w:val="left"/>
    </w:pPr>
    <w:rPr/>
  </w:style>
  <w:style w:type="paragraph" w:styleId="P9">
    <w:name w:val="Lista (Publink)"/>
    <w:basedOn w:val="P3"/>
    <w:pPr>
      <w:contextualSpacing w:val="1"/>
      <w:jc w:val="left"/>
    </w:pPr>
    <w:rPr/>
  </w:style>
  <w:style w:type="paragraph" w:styleId="P10">
    <w:name w:val="Nagłówek tabeli (Publink)"/>
    <w:basedOn w:val="P3"/>
    <w:pPr>
      <w:spacing w:after="0"/>
      <w:jc w:val="left"/>
    </w:pPr>
    <w:rPr>
      <w:b w:val="1"/>
      <w:bCs w:val="1"/>
    </w:rPr>
  </w:style>
  <w:style w:type="paragraph" w:styleId="P11">
    <w:name w:val="Komórka tabeli (Publink)"/>
    <w:basedOn w:val="P3"/>
    <w:pPr>
      <w:spacing w:after="0"/>
      <w:jc w:val="left"/>
    </w:pPr>
    <w:rPr/>
  </w:style>
  <w:style w:type="paragraph" w:styleId="P12">
    <w:name w:val="Adnotacja (Publink)"/>
    <w:basedOn w:val="P3"/>
    <w:pPr>
      <w:jc w:val="right"/>
    </w:pPr>
    <w:rPr>
      <w:i w:val="1"/>
      <w:iCs w:val="1"/>
    </w:rPr>
  </w:style>
  <w:style w:type="paragraph" w:styleId="P13">
    <w:name w:val="Wyróżniona komórka tabeli (Publink)"/>
    <w:basedOn w:val="P11"/>
    <w:pPr/>
    <w:rPr>
      <w:b w:val="1"/>
      <w:bCs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widowControl w:val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Julita Rybak</dc:creator>
  <dcterms:created xsi:type="dcterms:W3CDTF">2025-01-22T10:43:00Z</dcterms:created>
  <cp:lastModifiedBy>Julita Rybak</cp:lastModifiedBy>
  <dcterms:modified xsi:type="dcterms:W3CDTF">2025-01-22T10:44:08Z</dcterms:modified>
  <cp:revision>1</cp:revision>
</cp:coreProperties>
</file>