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351A" w:rsidRPr="0088351A" w:rsidRDefault="0088351A" w:rsidP="0088351A">
      <w:pPr>
        <w:rPr>
          <w:rFonts w:ascii="Times New Roman" w:hAnsi="Times New Roman" w:cs="Times New Roman"/>
          <w:b/>
          <w:bCs/>
        </w:rPr>
      </w:pPr>
      <w:r w:rsidRPr="0088351A">
        <w:rPr>
          <w:rFonts w:ascii="Times New Roman" w:hAnsi="Times New Roman" w:cs="Times New Roman"/>
          <w:b/>
          <w:bCs/>
        </w:rPr>
        <w:t>Objaśnienia przyjętych wartości do Wieloletniej Prognozy Finansowej Gminy Czerniejewo na lata 2024-2033</w:t>
      </w:r>
    </w:p>
    <w:p w:rsidR="0088351A" w:rsidRPr="0088351A" w:rsidRDefault="0088351A" w:rsidP="0088351A">
      <w:p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Zgodnie ze zmianami w budżecie na dzień 30 grudnia 2024 r., dokonano następujących zmian w Wieloletniej Prognozie Finansowej Gminy Czerniejewo:</w:t>
      </w:r>
    </w:p>
    <w:p w:rsidR="0088351A" w:rsidRPr="0088351A" w:rsidRDefault="0088351A" w:rsidP="0088351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Dochody ogółem zwiększono o 217 693,44 zł, z czego dochody bieżące zwiększono o 217 693,44 zł, a dochody majątkowe nie uległy zmianie.</w:t>
      </w:r>
    </w:p>
    <w:p w:rsidR="0088351A" w:rsidRPr="0088351A" w:rsidRDefault="0088351A" w:rsidP="0088351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Wydatki ogółem zmniejszono o 296 180,33 zł, z czego wydatki bieżące zmniejszono o 130 311,64 zł, a wydatki majątkowe zmniejszono o 165 868,69 zł.</w:t>
      </w:r>
    </w:p>
    <w:p w:rsidR="0088351A" w:rsidRPr="0088351A" w:rsidRDefault="0088351A" w:rsidP="0088351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Wynik budżetu jest deficytowy i po zmianach wynosi -3 041 495,68 zł.</w:t>
      </w:r>
    </w:p>
    <w:p w:rsidR="0088351A" w:rsidRPr="0088351A" w:rsidRDefault="0088351A" w:rsidP="0088351A">
      <w:p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Szczegółowe informacje na temat zmian w zakresie dochodów, wydatków i wyniku budżetu w roku budżetowym przedstawiono w tabeli poniżej.</w:t>
      </w:r>
    </w:p>
    <w:p w:rsidR="0088351A" w:rsidRPr="0088351A" w:rsidRDefault="0088351A" w:rsidP="0088351A">
      <w:pPr>
        <w:rPr>
          <w:rFonts w:ascii="Times New Roman" w:hAnsi="Times New Roman" w:cs="Times New Roman"/>
          <w:b/>
          <w:bCs/>
        </w:rPr>
      </w:pPr>
      <w:r w:rsidRPr="0088351A">
        <w:rPr>
          <w:rFonts w:ascii="Times New Roman" w:hAnsi="Times New Roman" w:cs="Times New Roman"/>
          <w:b/>
          <w:bCs/>
        </w:rPr>
        <w:t>Tabela 1. Zmiany w dochodach i wydatkach w 2024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88351A" w:rsidRPr="0088351A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Po zmianie [zł]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58 905 461,48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+217 693,44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59 123 154,92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46 708 949,89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+217 693,44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46 926 643,33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8 224 723,22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+78 995,94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8 303 719,16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12 503 185,67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+138 697,50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12 641 883,17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62 460 830,93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-296 180,33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62 164 650,60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46 160 802,45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-130 311,64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46 030 490,81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23 561 737,84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-18 017,69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23 543 720,15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Obsługa długu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130 000,00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+4 200,00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134 200,00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22 469 064,61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-116 493,95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22 352 570,66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16 300 028,48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-165 868,69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16 134 159,79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-3 555 369,45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+513 873,77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-3 041 495,68</w:t>
            </w:r>
          </w:p>
        </w:tc>
      </w:tr>
    </w:tbl>
    <w:p w:rsidR="0088351A" w:rsidRPr="0088351A" w:rsidRDefault="0088351A" w:rsidP="0088351A">
      <w:p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Źródło: opracowanie własne.</w:t>
      </w:r>
    </w:p>
    <w:p w:rsidR="0088351A" w:rsidRPr="0088351A" w:rsidRDefault="0088351A" w:rsidP="0088351A">
      <w:p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Od 2025 r. nie dokonywano zmian w zakresie planowanych dochodów budżetowych.</w:t>
      </w:r>
    </w:p>
    <w:p w:rsidR="0088351A" w:rsidRPr="0088351A" w:rsidRDefault="0088351A" w:rsidP="0088351A">
      <w:p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W okresie prognozy WPF dokonano zmian w zakresie planowanych wydatków bieżących i majątkowych. Zmiany przedstawiono w tabelach poniżej.</w:t>
      </w:r>
    </w:p>
    <w:p w:rsidR="0088351A" w:rsidRPr="0088351A" w:rsidRDefault="0088351A" w:rsidP="0088351A">
      <w:pPr>
        <w:rPr>
          <w:rFonts w:ascii="Times New Roman" w:hAnsi="Times New Roman" w:cs="Times New Roman"/>
          <w:b/>
          <w:bCs/>
        </w:rPr>
      </w:pPr>
      <w:r w:rsidRPr="0088351A">
        <w:rPr>
          <w:rFonts w:ascii="Times New Roman" w:hAnsi="Times New Roman" w:cs="Times New Roman"/>
          <w:b/>
          <w:bCs/>
        </w:rPr>
        <w:t>Tabela 2. Zmiany w wydatkach bieżących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88351A" w:rsidRPr="0088351A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Po zmianie [zł]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39 689 174,00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-290 340,00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39 398 834,00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lastRenderedPageBreak/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39 696 424,00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-249 240,00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39 447 184,00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39 703 674,00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-208 140,00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39 495 534,00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39 710 924,00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-167 040,00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39 543 884,00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39 718 174,00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-125 940,00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39 592 234,00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39 725 424,00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-84 840,00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39 640 584,00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39 745 606,00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-43 740,00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39 701 866,00</w:t>
            </w:r>
          </w:p>
        </w:tc>
      </w:tr>
    </w:tbl>
    <w:p w:rsidR="0088351A" w:rsidRPr="0088351A" w:rsidRDefault="0088351A" w:rsidP="0088351A">
      <w:p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Źródło: opracowanie własne.</w:t>
      </w:r>
    </w:p>
    <w:p w:rsidR="0088351A" w:rsidRPr="0088351A" w:rsidRDefault="0088351A" w:rsidP="0088351A">
      <w:pPr>
        <w:rPr>
          <w:rFonts w:ascii="Times New Roman" w:hAnsi="Times New Roman" w:cs="Times New Roman"/>
          <w:b/>
          <w:bCs/>
        </w:rPr>
      </w:pPr>
      <w:r w:rsidRPr="0088351A">
        <w:rPr>
          <w:rFonts w:ascii="Times New Roman" w:hAnsi="Times New Roman" w:cs="Times New Roman"/>
          <w:b/>
          <w:bCs/>
        </w:rPr>
        <w:t>Tabela 3. Zmiany w wydatkach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88351A" w:rsidRPr="0088351A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Po zmianie [zł]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9 605 592,70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+412 400,00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10 017 992,70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2 540 915,11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+300 000,00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2 840 915,11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3 642 197,00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+590 340,00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4 232 537,00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3 634 947,00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+549 240,00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4 184 187,00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3 927 697,00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+208 140,00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4 135 837,00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3 920 447,00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+167 040,00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4 087 487,00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3 913 197,00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+125 940,00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4 039 137,00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3 905 947,00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+84 840,00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3 990 787,00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3 847 217,80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-18 902,80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3 828 315,00</w:t>
            </w:r>
          </w:p>
        </w:tc>
      </w:tr>
    </w:tbl>
    <w:p w:rsidR="0088351A" w:rsidRPr="0088351A" w:rsidRDefault="0088351A" w:rsidP="0088351A">
      <w:p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Źródło: opracowanie własne.</w:t>
      </w:r>
    </w:p>
    <w:p w:rsidR="0088351A" w:rsidRPr="0088351A" w:rsidRDefault="0088351A" w:rsidP="0088351A">
      <w:p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Dodatkowo, w okresie prognozy WPF dokonano aktualizacji wydatków na obsługę długu, co przedstawiono w tabeli poniżej.</w:t>
      </w:r>
    </w:p>
    <w:p w:rsidR="0088351A" w:rsidRPr="0088351A" w:rsidRDefault="0088351A" w:rsidP="0088351A">
      <w:pPr>
        <w:rPr>
          <w:rFonts w:ascii="Times New Roman" w:hAnsi="Times New Roman" w:cs="Times New Roman"/>
          <w:b/>
          <w:bCs/>
        </w:rPr>
      </w:pPr>
      <w:r w:rsidRPr="0088351A">
        <w:rPr>
          <w:rFonts w:ascii="Times New Roman" w:hAnsi="Times New Roman" w:cs="Times New Roman"/>
          <w:b/>
          <w:bCs/>
        </w:rPr>
        <w:t>Tabela 4. Zmiany w wydatkach na obsługę długu w okresie prognozy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88351A" w:rsidRPr="0088351A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Po zmianie [zł]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290 340,00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-290 340,00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0,00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249 240,00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-249 240,00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0,00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208 140,00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-208 140,00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0,00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167 040,00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-167 040,00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0,00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125 940,00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-125 940,00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0,00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lastRenderedPageBreak/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84 840,00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-84 840,00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0,00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43 740,00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-43 740,00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8351A" w:rsidRPr="0088351A" w:rsidRDefault="0088351A" w:rsidP="0088351A">
      <w:p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Źródło: opracowanie własne.</w:t>
      </w:r>
    </w:p>
    <w:p w:rsidR="0088351A" w:rsidRPr="0088351A" w:rsidRDefault="0088351A" w:rsidP="0088351A">
      <w:p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W Wieloletniej Prognozie Finansowej Gminy Czerniejewo:</w:t>
      </w:r>
    </w:p>
    <w:p w:rsidR="0088351A" w:rsidRPr="0088351A" w:rsidRDefault="0088351A" w:rsidP="0088351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Przychody ogółem w roku budżetowym zmniejszono o 513 873,77 zł, w tym przychody z tytułu kredytów, pożyczek lub emisji papierów wartościowych zmniejszono o 1 249 757,20 zł.</w:t>
      </w:r>
    </w:p>
    <w:p w:rsidR="0088351A" w:rsidRPr="0088351A" w:rsidRDefault="0088351A" w:rsidP="0088351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Rozchody ogółem w roku budżetowym nie uległy zmianie.</w:t>
      </w:r>
    </w:p>
    <w:p w:rsidR="0088351A" w:rsidRPr="0088351A" w:rsidRDefault="0088351A" w:rsidP="0088351A">
      <w:p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Szczegółowe informacje na temat zmian w zakresie przychodów i rozchodów w roku budżetowym przedstawiono w tabeli poniżej.</w:t>
      </w:r>
    </w:p>
    <w:p w:rsidR="0088351A" w:rsidRPr="0088351A" w:rsidRDefault="0088351A" w:rsidP="0088351A">
      <w:pPr>
        <w:rPr>
          <w:rFonts w:ascii="Times New Roman" w:hAnsi="Times New Roman" w:cs="Times New Roman"/>
          <w:b/>
          <w:bCs/>
        </w:rPr>
      </w:pPr>
      <w:r w:rsidRPr="0088351A">
        <w:rPr>
          <w:rFonts w:ascii="Times New Roman" w:hAnsi="Times New Roman" w:cs="Times New Roman"/>
          <w:b/>
          <w:bCs/>
        </w:rPr>
        <w:t>Tabela 5. Zmiany w przychodach i rozchodach na 2024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88351A" w:rsidRPr="0088351A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Po zmianie [zł]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4 293 829,45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-513 873,77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3 779 955,68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Kredyty, pożyczki, emisja papierów wartościowych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3 938 547,20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-1 249 757,20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2 688 790,00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+735 883,43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735 883,43</w:t>
            </w:r>
          </w:p>
        </w:tc>
      </w:tr>
    </w:tbl>
    <w:p w:rsidR="0088351A" w:rsidRPr="0088351A" w:rsidRDefault="0088351A" w:rsidP="0088351A">
      <w:p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Źródło: opracowanie własne.</w:t>
      </w:r>
    </w:p>
    <w:p w:rsidR="0088351A" w:rsidRPr="0088351A" w:rsidRDefault="0088351A" w:rsidP="0088351A">
      <w:p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Od 2025 nie dokonywano zmian w zakresie planowanych przychodów.</w:t>
      </w:r>
    </w:p>
    <w:p w:rsidR="0088351A" w:rsidRPr="0088351A" w:rsidRDefault="0088351A" w:rsidP="0088351A">
      <w:p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Od 2025 dokonano zmian w zakresie planowanych rozchodów. Zmiany przedstawiono w tabeli poniżej.</w:t>
      </w:r>
    </w:p>
    <w:p w:rsidR="0088351A" w:rsidRPr="0088351A" w:rsidRDefault="0088351A" w:rsidP="0088351A">
      <w:pPr>
        <w:rPr>
          <w:rFonts w:ascii="Times New Roman" w:hAnsi="Times New Roman" w:cs="Times New Roman"/>
          <w:b/>
          <w:bCs/>
        </w:rPr>
      </w:pPr>
      <w:r w:rsidRPr="0088351A">
        <w:rPr>
          <w:rFonts w:ascii="Times New Roman" w:hAnsi="Times New Roman" w:cs="Times New Roman"/>
          <w:b/>
          <w:bCs/>
        </w:rPr>
        <w:t>Tabela 6. Zmiany w rozchodach zwrotnych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88351A" w:rsidRPr="0088351A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Po zmianie [zł]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1 084 633,00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-412 400,00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672 233,00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1 354 237,89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1 054 237,89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600 000,00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300 000,00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600 000,00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300 000,00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300 000,00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300 000,00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300 000,00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300 000,00</w:t>
            </w:r>
          </w:p>
        </w:tc>
      </w:tr>
      <w:tr w:rsidR="0088351A" w:rsidRPr="008835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lastRenderedPageBreak/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338 547,20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+62 642,80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401 190,00</w:t>
            </w:r>
          </w:p>
        </w:tc>
      </w:tr>
    </w:tbl>
    <w:p w:rsidR="0088351A" w:rsidRPr="0088351A" w:rsidRDefault="0088351A" w:rsidP="0088351A">
      <w:p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Źródło: opracowanie własne.</w:t>
      </w:r>
    </w:p>
    <w:p w:rsidR="0088351A" w:rsidRPr="0088351A" w:rsidRDefault="0088351A" w:rsidP="0088351A">
      <w:p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W zakresie zawartych umów, rozchody Gminy Czerniejewo zaplanowano zgodnie z harmonogramami. W tabeli poniżej spłatę ww. zobowiązań przedstawiono w kolumnie „Zobowiązanie historyczne”.</w:t>
      </w:r>
    </w:p>
    <w:p w:rsidR="0088351A" w:rsidRPr="0088351A" w:rsidRDefault="0088351A" w:rsidP="0088351A">
      <w:pPr>
        <w:rPr>
          <w:rFonts w:ascii="Times New Roman" w:hAnsi="Times New Roman" w:cs="Times New Roman"/>
          <w:b/>
          <w:bCs/>
        </w:rPr>
      </w:pPr>
      <w:r w:rsidRPr="0088351A">
        <w:rPr>
          <w:rFonts w:ascii="Times New Roman" w:hAnsi="Times New Roman" w:cs="Times New Roman"/>
          <w:b/>
          <w:bCs/>
        </w:rPr>
        <w:t>Tabela 7. Spłata zaciągniętych i planowanych zobowiązań Gminy Czerniejewo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351A" w:rsidRPr="0088351A">
        <w:trPr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Zobowiązanie historyczne [zł]</w:t>
            </w:r>
          </w:p>
        </w:tc>
      </w:tr>
      <w:tr w:rsidR="0088351A" w:rsidRPr="008835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738 460,00</w:t>
            </w:r>
          </w:p>
        </w:tc>
      </w:tr>
      <w:tr w:rsidR="0088351A" w:rsidRPr="008835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672 233,00</w:t>
            </w:r>
          </w:p>
        </w:tc>
      </w:tr>
      <w:tr w:rsidR="0088351A" w:rsidRPr="008835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1 054 237,89</w:t>
            </w:r>
          </w:p>
        </w:tc>
      </w:tr>
      <w:tr w:rsidR="0088351A" w:rsidRPr="008835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300 000,00</w:t>
            </w:r>
          </w:p>
        </w:tc>
      </w:tr>
      <w:tr w:rsidR="0088351A" w:rsidRPr="008835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300 000,00</w:t>
            </w:r>
          </w:p>
        </w:tc>
      </w:tr>
      <w:tr w:rsidR="0088351A" w:rsidRPr="008835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300 000,00</w:t>
            </w:r>
          </w:p>
        </w:tc>
      </w:tr>
      <w:tr w:rsidR="0088351A" w:rsidRPr="008835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300 000,00</w:t>
            </w:r>
          </w:p>
        </w:tc>
      </w:tr>
      <w:tr w:rsidR="0088351A" w:rsidRPr="008835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300 000,00</w:t>
            </w:r>
          </w:p>
        </w:tc>
      </w:tr>
      <w:tr w:rsidR="0088351A" w:rsidRPr="008835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300 000,00</w:t>
            </w:r>
          </w:p>
        </w:tc>
      </w:tr>
      <w:tr w:rsidR="0088351A" w:rsidRPr="008835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401 190,00</w:t>
            </w:r>
          </w:p>
        </w:tc>
      </w:tr>
    </w:tbl>
    <w:p w:rsidR="0088351A" w:rsidRPr="0088351A" w:rsidRDefault="0088351A" w:rsidP="0088351A">
      <w:p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Źródło: Opracowanie własne.</w:t>
      </w:r>
    </w:p>
    <w:p w:rsidR="0088351A" w:rsidRPr="0088351A" w:rsidRDefault="0088351A" w:rsidP="0088351A">
      <w:p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Zmiany w Wieloletniej Prognozie Finansowej Gminy Czerniejewo na lata 2024-2033 spowodowały modyfikacje w kształtowaniu się relacji z art. 243 ustawy o finansach publicznych. Szczegóły zaprezentowano w tabeli poniżej.</w:t>
      </w:r>
    </w:p>
    <w:p w:rsidR="0088351A" w:rsidRPr="0088351A" w:rsidRDefault="0088351A" w:rsidP="0088351A">
      <w:pPr>
        <w:rPr>
          <w:rFonts w:ascii="Times New Roman" w:hAnsi="Times New Roman" w:cs="Times New Roman"/>
          <w:b/>
          <w:bCs/>
        </w:rPr>
      </w:pPr>
      <w:r w:rsidRPr="0088351A">
        <w:rPr>
          <w:rFonts w:ascii="Times New Roman" w:hAnsi="Times New Roman" w:cs="Times New Roman"/>
          <w:b/>
          <w:bCs/>
        </w:rPr>
        <w:t>Tabela 8.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1"/>
        <w:gridCol w:w="1511"/>
        <w:gridCol w:w="1511"/>
        <w:gridCol w:w="1515"/>
      </w:tblGrid>
      <w:tr w:rsidR="0088351A" w:rsidRPr="0088351A">
        <w:trPr>
          <w:tblHeader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Obsługa zadłużenia (fakt. i plan. po wyłączeniach)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Maksymalna obsługa zadłużenia (wg planu po III kwartale)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Zachowanie relacji z art. 243 (w oparciu o plan po III kwartale)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Maksymalna obsługa zadłużenia (wg wykonania)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  <w:b/>
                <w:bCs/>
              </w:rPr>
            </w:pPr>
            <w:r w:rsidRPr="0088351A">
              <w:rPr>
                <w:rFonts w:ascii="Times New Roman" w:hAnsi="Times New Roman" w:cs="Times New Roman"/>
                <w:b/>
                <w:bCs/>
              </w:rPr>
              <w:t>Zachowanie relacji z art. 243 (w oparciu o wykonanie)</w:t>
            </w:r>
          </w:p>
        </w:tc>
      </w:tr>
      <w:tr w:rsidR="0088351A" w:rsidRPr="0088351A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2,26%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16,14%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15,61%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TAK</w:t>
            </w:r>
          </w:p>
        </w:tc>
      </w:tr>
      <w:tr w:rsidR="0088351A" w:rsidRPr="0088351A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3,12%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14,77%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14,24%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TAK</w:t>
            </w:r>
          </w:p>
        </w:tc>
      </w:tr>
      <w:tr w:rsidR="0088351A" w:rsidRPr="0088351A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3,85%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8,96%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9,36%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TAK</w:t>
            </w:r>
          </w:p>
        </w:tc>
      </w:tr>
      <w:tr w:rsidR="0088351A" w:rsidRPr="0088351A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0,78%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8,03%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8,43%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TAK</w:t>
            </w:r>
          </w:p>
        </w:tc>
      </w:tr>
      <w:tr w:rsidR="0088351A" w:rsidRPr="0088351A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lastRenderedPageBreak/>
              <w:t>2028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0,78%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7,10%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7,50%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TAK</w:t>
            </w:r>
          </w:p>
        </w:tc>
      </w:tr>
      <w:tr w:rsidR="0088351A" w:rsidRPr="0088351A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0,78%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6,16%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6,56%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TAK</w:t>
            </w:r>
          </w:p>
        </w:tc>
      </w:tr>
      <w:tr w:rsidR="0088351A" w:rsidRPr="0088351A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0,78%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5,29%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5,69%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TAK</w:t>
            </w:r>
          </w:p>
        </w:tc>
      </w:tr>
      <w:tr w:rsidR="0088351A" w:rsidRPr="0088351A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0,78%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5,64%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5,64%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TAK</w:t>
            </w:r>
          </w:p>
        </w:tc>
      </w:tr>
      <w:tr w:rsidR="0088351A" w:rsidRPr="0088351A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0,78%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6,13%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6,13%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TAK</w:t>
            </w:r>
          </w:p>
        </w:tc>
      </w:tr>
      <w:tr w:rsidR="0088351A" w:rsidRPr="0088351A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1,05%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6,31%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6,31%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A" w:rsidRPr="0088351A" w:rsidRDefault="0088351A" w:rsidP="0088351A">
            <w:pPr>
              <w:rPr>
                <w:rFonts w:ascii="Times New Roman" w:hAnsi="Times New Roman" w:cs="Times New Roman"/>
              </w:rPr>
            </w:pPr>
            <w:r w:rsidRPr="0088351A">
              <w:rPr>
                <w:rFonts w:ascii="Times New Roman" w:hAnsi="Times New Roman" w:cs="Times New Roman"/>
              </w:rPr>
              <w:t>TAK</w:t>
            </w:r>
          </w:p>
        </w:tc>
      </w:tr>
    </w:tbl>
    <w:p w:rsidR="0088351A" w:rsidRPr="0088351A" w:rsidRDefault="0088351A" w:rsidP="0088351A">
      <w:p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Źródło: Opracowanie własne.</w:t>
      </w:r>
    </w:p>
    <w:p w:rsidR="0088351A" w:rsidRPr="0088351A" w:rsidRDefault="0088351A" w:rsidP="0088351A">
      <w:p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Dane w tabeli powyżej wskazują, że w całym okresie prognozy Gmina Czerniejewo spełnia relację, o której mowa w art. 243 ust. 1 ustawy o finansach publicznych. Spełnienie dotyczy zarówno relacji obliczonej na podstawie planu na dzień 30.09.2023 r. jak i w oparciu o dane z wykonania budżetu.</w:t>
      </w:r>
    </w:p>
    <w:p w:rsidR="0088351A" w:rsidRPr="0088351A" w:rsidRDefault="0088351A" w:rsidP="0088351A">
      <w:p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88351A" w:rsidRPr="0088351A" w:rsidRDefault="0088351A" w:rsidP="0088351A">
      <w:pPr>
        <w:rPr>
          <w:rFonts w:ascii="Times New Roman" w:hAnsi="Times New Roman" w:cs="Times New Roman"/>
        </w:rPr>
      </w:pPr>
      <w:r w:rsidRPr="0088351A">
        <w:rPr>
          <w:rFonts w:ascii="Times New Roman" w:hAnsi="Times New Roman" w:cs="Times New Roman"/>
        </w:rPr>
        <w:t>Pełen zakres zmian obrazuje załącznik nr 1 do niniejszej uchwały.</w:t>
      </w:r>
    </w:p>
    <w:p w:rsidR="0088351A" w:rsidRPr="0088351A" w:rsidRDefault="0088351A" w:rsidP="0088351A">
      <w:pPr>
        <w:rPr>
          <w:rFonts w:ascii="Times New Roman" w:hAnsi="Times New Roman" w:cs="Times New Roman"/>
        </w:rPr>
      </w:pPr>
    </w:p>
    <w:p w:rsidR="00E01AAA" w:rsidRPr="0088351A" w:rsidRDefault="00E01AAA">
      <w:pPr>
        <w:rPr>
          <w:rFonts w:ascii="Times New Roman" w:hAnsi="Times New Roman" w:cs="Times New Roman"/>
        </w:rPr>
      </w:pPr>
    </w:p>
    <w:sectPr w:rsidR="00E01AAA" w:rsidRPr="0088351A" w:rsidSect="0088351A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846705537">
    <w:abstractNumId w:val="0"/>
  </w:num>
  <w:num w:numId="2" w16cid:durableId="58977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1A"/>
    <w:rsid w:val="002A6CF0"/>
    <w:rsid w:val="00315431"/>
    <w:rsid w:val="0046314C"/>
    <w:rsid w:val="0088351A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DDFE9-304F-4789-98C3-BB86EF9D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1</cp:revision>
  <dcterms:created xsi:type="dcterms:W3CDTF">2024-12-27T14:51:00Z</dcterms:created>
  <dcterms:modified xsi:type="dcterms:W3CDTF">2024-12-27T14:52:00Z</dcterms:modified>
</cp:coreProperties>
</file>