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663D" w:rsidRPr="00A2663D" w:rsidRDefault="00A2663D" w:rsidP="00A2663D">
      <w:pPr>
        <w:rPr>
          <w:b/>
          <w:bCs/>
        </w:rPr>
      </w:pPr>
      <w:r w:rsidRPr="00A2663D">
        <w:rPr>
          <w:b/>
          <w:bCs/>
        </w:rPr>
        <w:t>Objaśnienia przyjętych wartości do Wieloletniej Prognozy Finansowej Gminy Czerniejewo na lata 2024-2033</w:t>
      </w:r>
    </w:p>
    <w:p w:rsidR="00A2663D" w:rsidRPr="00A2663D" w:rsidRDefault="00A2663D" w:rsidP="00A2663D">
      <w:r w:rsidRPr="00A2663D">
        <w:t>Zgodnie ze zmianami w budżecie na dzień 25 września 2024 r., dokonano następujących zmian w Wieloletniej Prognozie Finansowej Gminy Czerniejewo:</w:t>
      </w:r>
    </w:p>
    <w:p w:rsidR="00A2663D" w:rsidRPr="00A2663D" w:rsidRDefault="00A2663D" w:rsidP="00A2663D">
      <w:pPr>
        <w:numPr>
          <w:ilvl w:val="0"/>
          <w:numId w:val="1"/>
        </w:numPr>
      </w:pPr>
      <w:r w:rsidRPr="00A2663D">
        <w:t>Dochody ogółem zmniejszono o 447 494,43 zł, z czego dochody bieżące zwiększono o 569 036,96 zł, a dochody majątkowe zmniejszono o 1 016 531,39 zł.</w:t>
      </w:r>
    </w:p>
    <w:p w:rsidR="00A2663D" w:rsidRPr="00A2663D" w:rsidRDefault="00A2663D" w:rsidP="00A2663D">
      <w:pPr>
        <w:numPr>
          <w:ilvl w:val="0"/>
          <w:numId w:val="1"/>
        </w:numPr>
      </w:pPr>
      <w:r w:rsidRPr="00A2663D">
        <w:t>Wydatki ogółem zmniejszono o 447 494,43 zł, z czego wydatki bieżące zwiększono o 621 285,26 zł, a wydatki majątkowe zmniejszono o 1 068 779,69 zł.</w:t>
      </w:r>
    </w:p>
    <w:p w:rsidR="00A2663D" w:rsidRPr="00A2663D" w:rsidRDefault="00A2663D" w:rsidP="00A2663D">
      <w:pPr>
        <w:numPr>
          <w:ilvl w:val="0"/>
          <w:numId w:val="1"/>
        </w:numPr>
      </w:pPr>
      <w:r w:rsidRPr="00A2663D">
        <w:t>Wynik budżetu nie uległ zmianie.</w:t>
      </w:r>
    </w:p>
    <w:p w:rsidR="00A2663D" w:rsidRPr="00A2663D" w:rsidRDefault="00A2663D" w:rsidP="00A2663D">
      <w:r w:rsidRPr="00A2663D">
        <w:t>Szczegółowe informacje na temat zmian w zakresie dochodów, wydatków i wyniku budżetu w roku budżetowym przedstawiono w tabeli poniżej.</w:t>
      </w:r>
    </w:p>
    <w:p w:rsidR="00A2663D" w:rsidRPr="00A2663D" w:rsidRDefault="00A2663D" w:rsidP="00A2663D">
      <w:pPr>
        <w:rPr>
          <w:b/>
          <w:bCs/>
        </w:rPr>
      </w:pPr>
      <w:r w:rsidRPr="00A2663D">
        <w:rPr>
          <w:b/>
          <w:bCs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2663D" w:rsidRPr="00A2663D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Po zmianie [zł]</w:t>
            </w:r>
          </w:p>
        </w:tc>
      </w:tr>
      <w:tr w:rsidR="00A2663D" w:rsidRPr="00A266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  <w:rPr>
                <w:b/>
                <w:bCs/>
              </w:rPr>
            </w:pPr>
            <w:r w:rsidRPr="00A2663D">
              <w:rPr>
                <w:b/>
                <w:bCs/>
              </w:rPr>
              <w:t>56 736 236,01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  <w:rPr>
                <w:b/>
                <w:bCs/>
              </w:rPr>
            </w:pPr>
            <w:r w:rsidRPr="00A2663D">
              <w:rPr>
                <w:b/>
                <w:bCs/>
              </w:rPr>
              <w:t>-447 494,43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  <w:rPr>
                <w:b/>
                <w:bCs/>
              </w:rPr>
            </w:pPr>
            <w:r w:rsidRPr="00A2663D">
              <w:rPr>
                <w:b/>
                <w:bCs/>
              </w:rPr>
              <w:t>56 288 741,58</w:t>
            </w:r>
          </w:p>
        </w:tc>
      </w:tr>
      <w:tr w:rsidR="00A2663D" w:rsidRPr="00A266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  <w:rPr>
                <w:b/>
                <w:bCs/>
              </w:rPr>
            </w:pPr>
            <w:r w:rsidRPr="00A2663D">
              <w:rPr>
                <w:b/>
                <w:bCs/>
              </w:rPr>
              <w:t>43 401 978,02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  <w:rPr>
                <w:b/>
                <w:bCs/>
              </w:rPr>
            </w:pPr>
            <w:r w:rsidRPr="00A2663D">
              <w:rPr>
                <w:b/>
                <w:bCs/>
              </w:rPr>
              <w:t>+569 036,96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  <w:rPr>
                <w:b/>
                <w:bCs/>
              </w:rPr>
            </w:pPr>
            <w:r w:rsidRPr="00A2663D">
              <w:rPr>
                <w:b/>
                <w:bCs/>
              </w:rPr>
              <w:t>43 971 014,98</w:t>
            </w:r>
          </w:p>
        </w:tc>
      </w:tr>
      <w:tr w:rsidR="00A2663D" w:rsidRPr="00A266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6 501 880,18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+552 285,26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7 054 165,44</w:t>
            </w:r>
          </w:p>
        </w:tc>
      </w:tr>
      <w:tr w:rsidR="00A2663D" w:rsidRPr="00A266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12 419 056,84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+16 751,70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12 435 808,54</w:t>
            </w:r>
          </w:p>
        </w:tc>
      </w:tr>
      <w:tr w:rsidR="00A2663D" w:rsidRPr="00A266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  <w:rPr>
                <w:b/>
                <w:bCs/>
              </w:rPr>
            </w:pPr>
            <w:r w:rsidRPr="00A2663D">
              <w:rPr>
                <w:b/>
                <w:bCs/>
              </w:rPr>
              <w:t>13 334 257,99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  <w:rPr>
                <w:b/>
                <w:bCs/>
              </w:rPr>
            </w:pPr>
            <w:r w:rsidRPr="00A2663D">
              <w:rPr>
                <w:b/>
                <w:bCs/>
              </w:rPr>
              <w:t>-1 016 531,39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  <w:rPr>
                <w:b/>
                <w:bCs/>
              </w:rPr>
            </w:pPr>
            <w:r w:rsidRPr="00A2663D">
              <w:rPr>
                <w:b/>
                <w:bCs/>
              </w:rPr>
              <w:t>12 317 726,60</w:t>
            </w:r>
          </w:p>
        </w:tc>
      </w:tr>
      <w:tr w:rsidR="00A2663D" w:rsidRPr="00A266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Sprzedaż majątku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3 000 000,00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-450 000,00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2 550 000,00</w:t>
            </w:r>
          </w:p>
        </w:tc>
      </w:tr>
      <w:tr w:rsidR="00A2663D" w:rsidRPr="00A266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  <w:rPr>
                <w:b/>
                <w:bCs/>
              </w:rPr>
            </w:pPr>
            <w:r w:rsidRPr="00A2663D">
              <w:rPr>
                <w:b/>
                <w:bCs/>
              </w:rPr>
              <w:t>61 791 605,46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  <w:rPr>
                <w:b/>
                <w:bCs/>
              </w:rPr>
            </w:pPr>
            <w:r w:rsidRPr="00A2663D">
              <w:rPr>
                <w:b/>
                <w:bCs/>
              </w:rPr>
              <w:t>-447 494,43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  <w:rPr>
                <w:b/>
                <w:bCs/>
              </w:rPr>
            </w:pPr>
            <w:r w:rsidRPr="00A2663D">
              <w:rPr>
                <w:b/>
                <w:bCs/>
              </w:rPr>
              <w:t>61 344 111,03</w:t>
            </w:r>
          </w:p>
        </w:tc>
      </w:tr>
      <w:tr w:rsidR="00A2663D" w:rsidRPr="00A266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  <w:rPr>
                <w:b/>
                <w:bCs/>
              </w:rPr>
            </w:pPr>
            <w:r w:rsidRPr="00A2663D">
              <w:rPr>
                <w:b/>
                <w:bCs/>
              </w:rPr>
              <w:t>43 100 382,19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  <w:rPr>
                <w:b/>
                <w:bCs/>
              </w:rPr>
            </w:pPr>
            <w:r w:rsidRPr="00A2663D">
              <w:rPr>
                <w:b/>
                <w:bCs/>
              </w:rPr>
              <w:t>+621 285,26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  <w:rPr>
                <w:b/>
                <w:bCs/>
              </w:rPr>
            </w:pPr>
            <w:r w:rsidRPr="00A2663D">
              <w:rPr>
                <w:b/>
                <w:bCs/>
              </w:rPr>
              <w:t>43 721 667,45</w:t>
            </w:r>
          </w:p>
        </w:tc>
      </w:tr>
      <w:tr w:rsidR="00A2663D" w:rsidRPr="00A266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22 913 079,04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+142 978,03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23 056 057,07</w:t>
            </w:r>
          </w:p>
        </w:tc>
      </w:tr>
      <w:tr w:rsidR="00A2663D" w:rsidRPr="00A266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20 057 303,15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+478 307,23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20 535 610,38</w:t>
            </w:r>
          </w:p>
        </w:tc>
      </w:tr>
      <w:tr w:rsidR="00A2663D" w:rsidRPr="00A266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  <w:rPr>
                <w:b/>
                <w:bCs/>
              </w:rPr>
            </w:pPr>
            <w:r w:rsidRPr="00A2663D">
              <w:rPr>
                <w:b/>
                <w:bCs/>
              </w:rPr>
              <w:t>18 691 223,27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  <w:rPr>
                <w:b/>
                <w:bCs/>
              </w:rPr>
            </w:pPr>
            <w:r w:rsidRPr="00A2663D">
              <w:rPr>
                <w:b/>
                <w:bCs/>
              </w:rPr>
              <w:t>-1 068 779,69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  <w:rPr>
                <w:b/>
                <w:bCs/>
              </w:rPr>
            </w:pPr>
            <w:r w:rsidRPr="00A2663D">
              <w:rPr>
                <w:b/>
                <w:bCs/>
              </w:rPr>
              <w:t>17 622 443,58</w:t>
            </w:r>
          </w:p>
        </w:tc>
      </w:tr>
    </w:tbl>
    <w:p w:rsidR="00A2663D" w:rsidRPr="00A2663D" w:rsidRDefault="00A2663D" w:rsidP="00A2663D">
      <w:r w:rsidRPr="00A2663D">
        <w:t>Źródło: opracowanie własne.</w:t>
      </w:r>
    </w:p>
    <w:p w:rsidR="00A2663D" w:rsidRPr="00A2663D" w:rsidRDefault="00A2663D" w:rsidP="00A2663D">
      <w:r w:rsidRPr="00A2663D">
        <w:t>Od 2025 r. nie dokonywano zmian w zakresie planowanych dochodów i wydatków budżetowych.</w:t>
      </w:r>
    </w:p>
    <w:p w:rsidR="00A2663D" w:rsidRPr="00A2663D" w:rsidRDefault="00A2663D" w:rsidP="00A2663D">
      <w:r w:rsidRPr="00A2663D">
        <w:t>W Wieloletniej Prognozie Finansowej Gminy Czerniejewo:</w:t>
      </w:r>
    </w:p>
    <w:p w:rsidR="00A2663D" w:rsidRPr="00A2663D" w:rsidRDefault="00A2663D" w:rsidP="00A2663D">
      <w:pPr>
        <w:numPr>
          <w:ilvl w:val="0"/>
          <w:numId w:val="2"/>
        </w:numPr>
      </w:pPr>
      <w:r w:rsidRPr="00A2663D">
        <w:t>Przychody ogółem w roku budżetowym nie uległy zmianie.</w:t>
      </w:r>
    </w:p>
    <w:p w:rsidR="00A2663D" w:rsidRPr="00A2663D" w:rsidRDefault="00A2663D" w:rsidP="00A2663D">
      <w:pPr>
        <w:numPr>
          <w:ilvl w:val="0"/>
          <w:numId w:val="2"/>
        </w:numPr>
      </w:pPr>
      <w:r w:rsidRPr="00A2663D">
        <w:t>Rozchody ogółem w roku budżetowym nie uległy zmianie.</w:t>
      </w:r>
    </w:p>
    <w:p w:rsidR="00A2663D" w:rsidRPr="00A2663D" w:rsidRDefault="00A2663D" w:rsidP="00A2663D">
      <w:r w:rsidRPr="00A2663D">
        <w:lastRenderedPageBreak/>
        <w:t>Od 2025 nie dokonywano zmian w zakresie planowanych przychodów.</w:t>
      </w:r>
    </w:p>
    <w:p w:rsidR="00A2663D" w:rsidRPr="00A2663D" w:rsidRDefault="00A2663D" w:rsidP="00A2663D">
      <w:r w:rsidRPr="00A2663D">
        <w:t>Od 2025 nie dokonywano zmian w zakresie planowanych rozchodów.</w:t>
      </w:r>
    </w:p>
    <w:p w:rsidR="00A2663D" w:rsidRPr="00A2663D" w:rsidRDefault="00A2663D" w:rsidP="00A2663D">
      <w:r w:rsidRPr="00A2663D">
        <w:t>W zakresie zawartych umów, rozchody Gminy Czerniejewo zaplanowano zgodnie z harmonogramami. W tabeli poniżej spłatę ww. zobowiązań przedstawiono w kolumnie „Zobowiązanie historyczne”.</w:t>
      </w:r>
    </w:p>
    <w:p w:rsidR="00A2663D" w:rsidRPr="00A2663D" w:rsidRDefault="00A2663D" w:rsidP="00A2663D">
      <w:r w:rsidRPr="00A2663D">
        <w:t>Spłatę zobowiązania planowanego do zaciągnięcia ujęto w latach 2025-2033. W tabeli poniżej spłatę ww. zobowiązań przedstawiono w kolumnie „Zobowiązanie planowane”.</w:t>
      </w:r>
    </w:p>
    <w:p w:rsidR="00A2663D" w:rsidRPr="00A2663D" w:rsidRDefault="00A2663D" w:rsidP="00A2663D">
      <w:pPr>
        <w:rPr>
          <w:b/>
          <w:bCs/>
        </w:rPr>
      </w:pPr>
      <w:r w:rsidRPr="00A2663D">
        <w:rPr>
          <w:b/>
          <w:bCs/>
        </w:rPr>
        <w:t>Tabela 2. Spłata zaciągniętych i planowanych zobowiązań Gminy Czerniejewo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A2663D" w:rsidRPr="00A2663D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Zobowiązania razem [zł]</w:t>
            </w:r>
          </w:p>
        </w:tc>
      </w:tr>
      <w:tr w:rsidR="00A2663D" w:rsidRPr="00A266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738 460,00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738 460,00</w:t>
            </w:r>
          </w:p>
        </w:tc>
      </w:tr>
      <w:tr w:rsidR="00A2663D" w:rsidRPr="00A266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484 633,00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1 084 633,00</w:t>
            </w:r>
          </w:p>
        </w:tc>
      </w:tr>
      <w:tr w:rsidR="00A2663D" w:rsidRPr="00A266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754 237,89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1 354 237,89</w:t>
            </w:r>
          </w:p>
        </w:tc>
      </w:tr>
      <w:tr w:rsidR="00A2663D" w:rsidRPr="00A266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600 000,00</w:t>
            </w:r>
          </w:p>
        </w:tc>
      </w:tr>
      <w:tr w:rsidR="00A2663D" w:rsidRPr="00A266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600 000,00</w:t>
            </w:r>
          </w:p>
        </w:tc>
      </w:tr>
      <w:tr w:rsidR="00A2663D" w:rsidRPr="00A266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600 000,00</w:t>
            </w:r>
          </w:p>
        </w:tc>
      </w:tr>
      <w:tr w:rsidR="00A2663D" w:rsidRPr="00A266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600 000,00</w:t>
            </w:r>
          </w:p>
        </w:tc>
      </w:tr>
      <w:tr w:rsidR="00A2663D" w:rsidRPr="00A266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600 000,00</w:t>
            </w:r>
          </w:p>
        </w:tc>
      </w:tr>
      <w:tr w:rsidR="00A2663D" w:rsidRPr="00A266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600 000,00</w:t>
            </w:r>
          </w:p>
        </w:tc>
      </w:tr>
      <w:tr w:rsidR="00A2663D" w:rsidRPr="00A266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638 547,20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638 547,20</w:t>
            </w:r>
          </w:p>
        </w:tc>
      </w:tr>
    </w:tbl>
    <w:p w:rsidR="00A2663D" w:rsidRPr="00A2663D" w:rsidRDefault="00A2663D" w:rsidP="00A2663D">
      <w:r w:rsidRPr="00A2663D">
        <w:t>Źródło: Opracowanie własne.</w:t>
      </w:r>
    </w:p>
    <w:p w:rsidR="00A2663D" w:rsidRPr="00A2663D" w:rsidRDefault="00A2663D" w:rsidP="00A2663D">
      <w:r w:rsidRPr="00A2663D">
        <w:t>Zmiany w Wieloletniej Prognozie Finansowej Gminy Czerniejewo na lata 2024-2033 spowodowały modyfikacje w kształtowaniu się relacji z art. 243 ustawy o finansach publicznych. Szczegóły zaprezentowano w tabeli poniżej.</w:t>
      </w:r>
    </w:p>
    <w:p w:rsidR="00A2663D" w:rsidRPr="00A2663D" w:rsidRDefault="00A2663D" w:rsidP="00A2663D">
      <w:pPr>
        <w:rPr>
          <w:b/>
          <w:bCs/>
        </w:rPr>
      </w:pPr>
      <w:r w:rsidRPr="00A2663D">
        <w:rPr>
          <w:b/>
          <w:bCs/>
        </w:rPr>
        <w:t>Tabela 3.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A2663D" w:rsidRPr="00A2663D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 xml:space="preserve">Obsługa zadłużenia (fakt. i plan. po </w:t>
            </w:r>
            <w:proofErr w:type="spellStart"/>
            <w:r w:rsidRPr="00A2663D">
              <w:rPr>
                <w:b/>
                <w:bCs/>
              </w:rPr>
              <w:t>wyłączeniach</w:t>
            </w:r>
            <w:proofErr w:type="spellEnd"/>
            <w:r w:rsidRPr="00A2663D">
              <w:rPr>
                <w:b/>
                <w:bCs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Zachowanie relacji z art. 243 (w oparciu o wykonanie)</w:t>
            </w:r>
          </w:p>
        </w:tc>
      </w:tr>
      <w:tr w:rsidR="00A2663D" w:rsidRPr="00A2663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2,35%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16,14%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15,61%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TAK</w:t>
            </w:r>
          </w:p>
        </w:tc>
      </w:tr>
      <w:tr w:rsidR="00A2663D" w:rsidRPr="00A2663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4,26%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14,58%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14,04%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TAK</w:t>
            </w:r>
          </w:p>
        </w:tc>
      </w:tr>
      <w:tr w:rsidR="00A2663D" w:rsidRPr="00A2663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lastRenderedPageBreak/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4,66%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9,11%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TAK</w:t>
            </w:r>
          </w:p>
        </w:tc>
      </w:tr>
      <w:tr w:rsidR="00A2663D" w:rsidRPr="00A2663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2,33%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7,77%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8,17%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TAK</w:t>
            </w:r>
          </w:p>
        </w:tc>
      </w:tr>
      <w:tr w:rsidR="00A2663D" w:rsidRPr="00A2663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2,22%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6,83%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7,23%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TAK</w:t>
            </w:r>
          </w:p>
        </w:tc>
      </w:tr>
      <w:tr w:rsidR="00A2663D" w:rsidRPr="00A2663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2,11%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5,90%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6,29%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TAK</w:t>
            </w:r>
          </w:p>
        </w:tc>
      </w:tr>
      <w:tr w:rsidR="00A2663D" w:rsidRPr="00A2663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2,01%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5,02%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5,42%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TAK</w:t>
            </w:r>
          </w:p>
        </w:tc>
      </w:tr>
      <w:tr w:rsidR="00A2663D" w:rsidRPr="00A2663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1,90%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5,38%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5,38%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TAK</w:t>
            </w:r>
          </w:p>
        </w:tc>
      </w:tr>
      <w:tr w:rsidR="00A2663D" w:rsidRPr="00A2663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1,79%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6,10%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6,10%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TAK</w:t>
            </w:r>
          </w:p>
        </w:tc>
      </w:tr>
      <w:tr w:rsidR="00A2663D" w:rsidRPr="00A2663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1,79%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6,28%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6,28%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TAK</w:t>
            </w:r>
          </w:p>
        </w:tc>
      </w:tr>
    </w:tbl>
    <w:p w:rsidR="00A2663D" w:rsidRPr="00A2663D" w:rsidRDefault="00A2663D" w:rsidP="00A2663D">
      <w:r w:rsidRPr="00A2663D">
        <w:t>Źródło: Opracowanie własne.</w:t>
      </w:r>
    </w:p>
    <w:p w:rsidR="00A2663D" w:rsidRPr="00A2663D" w:rsidRDefault="00A2663D" w:rsidP="00A2663D">
      <w:r w:rsidRPr="00A2663D">
        <w:t>Dane w tabeli powyżej wskazują, że w całym okresie prognozy Gmina Czerniejewo spełnia relację, o której mowa w art. 243 ust. 1 ustawy o finansach publicznych. Spełnienie dotyczy zarówno relacji obliczonej na podstawie planu na dzień 30.09.2023 r. jak i w oparciu o dane z wykonania budżetu.</w:t>
      </w:r>
    </w:p>
    <w:p w:rsidR="00A2663D" w:rsidRPr="00A2663D" w:rsidRDefault="00A2663D" w:rsidP="00A2663D">
      <w:r w:rsidRPr="00A2663D">
        <w:t>Zmiana Wieloletniej Prognozy Finansowej Gminy Czerniejewo obejmuje również zmiany w załączniku nr 2, które szczegółowo opisano poniżej.</w:t>
      </w:r>
    </w:p>
    <w:p w:rsidR="00A2663D" w:rsidRPr="00A2663D" w:rsidRDefault="00A2663D" w:rsidP="00A2663D">
      <w:r w:rsidRPr="00A2663D">
        <w:t>Do załącznika nr 2 dodano następujące przedsięwzięcia:</w:t>
      </w:r>
    </w:p>
    <w:p w:rsidR="00A2663D" w:rsidRPr="00A2663D" w:rsidRDefault="00A2663D" w:rsidP="00A2663D">
      <w:pPr>
        <w:numPr>
          <w:ilvl w:val="0"/>
          <w:numId w:val="3"/>
        </w:numPr>
      </w:pPr>
      <w:r w:rsidRPr="00A2663D">
        <w:t>Wsparcie rozwoju edukacji w Miejskim Obszarze Funkc</w:t>
      </w:r>
      <w:r>
        <w:t>j</w:t>
      </w:r>
      <w:r w:rsidRPr="00A2663D">
        <w:t>onalnym Gniezna – zadanie bieżące, które ma być realizowane w latach 2024-2027. Łączne nakłady planowane na realizację zadania wynoszą 85 739,00 zł, w tym w 2024 r. ‒ 0,00 zł. Limit zobowiązań dla zadania wynosi 0,00 zł. Jednostką realizującą jest Urząd Miasta i Gminy Czerniejewo.</w:t>
      </w:r>
    </w:p>
    <w:p w:rsidR="00A2663D" w:rsidRPr="00A2663D" w:rsidRDefault="00A2663D" w:rsidP="00A2663D">
      <w:r w:rsidRPr="00A2663D">
        <w:t>Dokonano zmian w zakresie następujących przedsięwzięć:</w:t>
      </w:r>
    </w:p>
    <w:p w:rsidR="00A2663D" w:rsidRPr="00A2663D" w:rsidRDefault="00A2663D" w:rsidP="00A2663D">
      <w:pPr>
        <w:numPr>
          <w:ilvl w:val="0"/>
          <w:numId w:val="4"/>
        </w:numPr>
      </w:pPr>
      <w:r w:rsidRPr="00A2663D">
        <w:t>W zakresie programów, projektów lub zadań innych (finansowanych ze środków krajowych):</w:t>
      </w:r>
    </w:p>
    <w:p w:rsidR="00A2663D" w:rsidRPr="00A2663D" w:rsidRDefault="00A2663D" w:rsidP="00A2663D">
      <w:pPr>
        <w:numPr>
          <w:ilvl w:val="1"/>
          <w:numId w:val="4"/>
        </w:numPr>
      </w:pPr>
      <w:r w:rsidRPr="00A2663D">
        <w:t>Opracowanie Strategii rozwoju gminy Czerniejewo na lata 2024 - 2030 – zmiana w przedsięwzięciu obejmuje m.in.:</w:t>
      </w:r>
    </w:p>
    <w:p w:rsidR="00A2663D" w:rsidRPr="00A2663D" w:rsidRDefault="00A2663D" w:rsidP="00A2663D">
      <w:pPr>
        <w:numPr>
          <w:ilvl w:val="2"/>
          <w:numId w:val="1"/>
        </w:numPr>
      </w:pPr>
      <w:r w:rsidRPr="00A2663D">
        <w:t>zwiększenie łącznych nakładów ogółem oraz limitu wydatków na realizację zadania w roku budżetowym o kwotę 10 000,00 zł;</w:t>
      </w:r>
    </w:p>
    <w:p w:rsidR="00A2663D" w:rsidRPr="00A2663D" w:rsidRDefault="00A2663D" w:rsidP="00A2663D">
      <w:pPr>
        <w:numPr>
          <w:ilvl w:val="1"/>
          <w:numId w:val="4"/>
        </w:numPr>
      </w:pPr>
      <w:r w:rsidRPr="00A2663D">
        <w:t>Budowa i podstawowe wyposażenie Ośrodka Zdrowia w Czerniejewie – zmiana w przedsięwzięciu obejmuje m.in.:</w:t>
      </w:r>
    </w:p>
    <w:p w:rsidR="00A2663D" w:rsidRPr="00A2663D" w:rsidRDefault="00A2663D" w:rsidP="00A2663D">
      <w:pPr>
        <w:numPr>
          <w:ilvl w:val="2"/>
          <w:numId w:val="1"/>
        </w:numPr>
      </w:pPr>
      <w:r w:rsidRPr="00A2663D">
        <w:lastRenderedPageBreak/>
        <w:t>zwiększenie łącznych nakładów ogółem oraz limitu wydatków na realizację zadania w roku budżetowym o kwotę 62 595,00 zł.</w:t>
      </w:r>
    </w:p>
    <w:p w:rsidR="00A2663D" w:rsidRPr="00A2663D" w:rsidRDefault="00A2663D" w:rsidP="00A2663D">
      <w:r w:rsidRPr="00A2663D">
        <w:t xml:space="preserve">     3)     Budowa ścieżek rowerowych w Gminie Czerniejewo w ramach FEWP</w:t>
      </w:r>
      <w:r w:rsidRPr="00A2663D">
        <w:br/>
        <w:t xml:space="preserve">             działanie 3,2 - wkład własny zwiększa się w roku 2025 do wysokości </w:t>
      </w:r>
      <w:r w:rsidRPr="00A2663D">
        <w:br/>
        <w:t xml:space="preserve">             1 600 000,00 zł.</w:t>
      </w:r>
    </w:p>
    <w:p w:rsidR="00A2663D" w:rsidRPr="00A2663D" w:rsidRDefault="00A2663D" w:rsidP="00A2663D"/>
    <w:p w:rsidR="00A2663D" w:rsidRPr="00A2663D" w:rsidRDefault="00A2663D" w:rsidP="00A2663D">
      <w:r w:rsidRPr="00A2663D">
        <w:t>Zmiany wprowadzone w wykazie wieloletnich przedsięwzięć nie spowodowały zmiany horyzontu czasowego załącznika nr 2 WPF.</w:t>
      </w:r>
    </w:p>
    <w:p w:rsidR="00A2663D" w:rsidRPr="00A2663D" w:rsidRDefault="00A2663D" w:rsidP="00A2663D">
      <w:r w:rsidRPr="00A2663D">
        <w:t>Zmiany wprowadzone w wykazie wieloletnich przedsięwzięć wpłynęły na zmianę pozycji 10.1.1 i 10.1.2 WPF, co przedstawiono w tabelach poniżej.</w:t>
      </w:r>
    </w:p>
    <w:p w:rsidR="00A2663D" w:rsidRPr="00A2663D" w:rsidRDefault="00A2663D" w:rsidP="00A2663D">
      <w:pPr>
        <w:rPr>
          <w:b/>
          <w:bCs/>
        </w:rPr>
      </w:pPr>
      <w:r w:rsidRPr="00A2663D">
        <w:rPr>
          <w:b/>
          <w:bCs/>
        </w:rPr>
        <w:t>Tabela 4. 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2663D" w:rsidRPr="00A2663D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Po zmianie [zł]</w:t>
            </w:r>
          </w:p>
        </w:tc>
      </w:tr>
      <w:tr w:rsidR="00A2663D" w:rsidRPr="00A266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184 967,84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+29 620,00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214 587,84</w:t>
            </w:r>
          </w:p>
        </w:tc>
      </w:tr>
      <w:tr w:rsidR="00A2663D" w:rsidRPr="00A266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97 437,84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+29 620,00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127 057,84</w:t>
            </w:r>
          </w:p>
        </w:tc>
      </w:tr>
      <w:tr w:rsidR="00A2663D" w:rsidRPr="00A266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2 450,76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+26 499,00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28 949,76</w:t>
            </w:r>
          </w:p>
        </w:tc>
      </w:tr>
    </w:tbl>
    <w:p w:rsidR="00A2663D" w:rsidRPr="00A2663D" w:rsidRDefault="00A2663D" w:rsidP="00A2663D">
      <w:r w:rsidRPr="00A2663D">
        <w:t>Źródło: opracowanie własne.</w:t>
      </w:r>
    </w:p>
    <w:p w:rsidR="00A2663D" w:rsidRPr="00A2663D" w:rsidRDefault="00A2663D" w:rsidP="00A2663D">
      <w:pPr>
        <w:rPr>
          <w:b/>
          <w:bCs/>
        </w:rPr>
      </w:pPr>
      <w:r w:rsidRPr="00A2663D">
        <w:rPr>
          <w:b/>
          <w:bCs/>
        </w:rPr>
        <w:t>Tabela 5. 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2663D" w:rsidRPr="00A2663D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pPr>
              <w:rPr>
                <w:b/>
                <w:bCs/>
              </w:rPr>
            </w:pPr>
            <w:r w:rsidRPr="00A2663D">
              <w:rPr>
                <w:b/>
                <w:bCs/>
              </w:rPr>
              <w:t>Po zmianie [zł]</w:t>
            </w:r>
          </w:p>
        </w:tc>
      </w:tr>
      <w:tr w:rsidR="00A2663D" w:rsidRPr="00A266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A2663D">
            <w:r w:rsidRPr="00A2663D"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4 678 393,66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+72 595,00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3D" w:rsidRPr="00A2663D" w:rsidRDefault="00A2663D" w:rsidP="0015114C">
            <w:pPr>
              <w:jc w:val="right"/>
            </w:pPr>
            <w:r w:rsidRPr="00A2663D">
              <w:t>4 750 988,66</w:t>
            </w:r>
          </w:p>
        </w:tc>
      </w:tr>
    </w:tbl>
    <w:p w:rsidR="00A2663D" w:rsidRPr="00A2663D" w:rsidRDefault="00A2663D" w:rsidP="00A2663D">
      <w:r w:rsidRPr="00A2663D">
        <w:t>Źródło: opracowanie własne.</w:t>
      </w:r>
    </w:p>
    <w:p w:rsidR="00A2663D" w:rsidRPr="00A2663D" w:rsidRDefault="00A2663D" w:rsidP="00A2663D">
      <w:r w:rsidRPr="00A2663D"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A2663D" w:rsidRPr="00A2663D" w:rsidRDefault="00A2663D" w:rsidP="00A2663D">
      <w:r w:rsidRPr="00A2663D">
        <w:t>Pełen zakres zmian obrazują załączniki nr 1 i 2 do niniejszej uchwały.</w:t>
      </w:r>
    </w:p>
    <w:p w:rsidR="00A2663D" w:rsidRPr="00A2663D" w:rsidRDefault="00A2663D" w:rsidP="00A2663D"/>
    <w:p w:rsidR="00E01AAA" w:rsidRDefault="00E01AAA"/>
    <w:sectPr w:rsidR="00E01AAA" w:rsidSect="00A2663D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206645093">
    <w:abstractNumId w:val="0"/>
  </w:num>
  <w:num w:numId="2" w16cid:durableId="441535962">
    <w:abstractNumId w:val="1"/>
  </w:num>
  <w:num w:numId="3" w16cid:durableId="2064715093">
    <w:abstractNumId w:val="2"/>
  </w:num>
  <w:num w:numId="4" w16cid:durableId="841511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3D"/>
    <w:rsid w:val="0015114C"/>
    <w:rsid w:val="0046314C"/>
    <w:rsid w:val="007C7EF9"/>
    <w:rsid w:val="00A2663D"/>
    <w:rsid w:val="00A6177B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A864D-AF7D-44C3-9282-16746F3A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2</cp:revision>
  <dcterms:created xsi:type="dcterms:W3CDTF">2024-09-25T09:01:00Z</dcterms:created>
  <dcterms:modified xsi:type="dcterms:W3CDTF">2024-09-25T09:03:00Z</dcterms:modified>
</cp:coreProperties>
</file>