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DBA" w:rsidRPr="00F94DBA" w:rsidRDefault="00F94DBA" w:rsidP="00F94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DBA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 Gminy Czerniejewo na lata 2024-2033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Zgodnie ze zmianami w budżecie na dzień 25 września 2024 r., dokonano następujących zmian w Wieloletniej Prognozie Finansowej Gminy Czerniejewo:</w:t>
      </w:r>
    </w:p>
    <w:p w:rsidR="00F94DBA" w:rsidRPr="00F94DBA" w:rsidRDefault="00F94DBA" w:rsidP="00F94D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Dochody ogółem zmniejszono o 447 494,43 zł, z czego dochody bieżące zwiększono o 569 036,96 zł, a dochody majątkowe zmniejszono o 1 016 531,39 zł.</w:t>
      </w:r>
    </w:p>
    <w:p w:rsidR="00F94DBA" w:rsidRPr="00F94DBA" w:rsidRDefault="00F94DBA" w:rsidP="00F94D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Wydatki ogółem zmniejszono o 447 494,43 zł, z czego wydatki bieżące zwiększono o 621 285,26 zł, a wydatki majątkowe zmniejszono o 1 068 779,69 zł.</w:t>
      </w:r>
    </w:p>
    <w:p w:rsidR="00F94DBA" w:rsidRPr="00F94DBA" w:rsidRDefault="00F94DBA" w:rsidP="00F94D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Wynik budżetu nie uległ zmianie.</w:t>
      </w:r>
    </w:p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 roku budżetowym przedstawiono w tabeli poniżej.</w:t>
      </w:r>
    </w:p>
    <w:p w:rsidR="00F94DBA" w:rsidRPr="00F94DBA" w:rsidRDefault="00F94DBA" w:rsidP="00F94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DBA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94DBA" w:rsidRPr="00F94DB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zmianie [zł]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56 736 236,01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-447 494,43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56 288 741,58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43 401 978,02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+569 036,96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43 971 014,98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6 501 880,18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+552 285,26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7 054 165,44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12 419 056,84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+16 751,70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12 435 808,54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13 334 257,99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-1 016 531,39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12 317 726,60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-450 000,00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2 550 000,00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61 791 605,46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-447 494,43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61 344 111,03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43 100 382,19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+621 285,26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43 721 667,45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22 913 079,04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+142 978,03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23 056 057,07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20 057 303,15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+478 307,23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20 535 610,38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18 691 223,27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-1 068 779,69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17 622 443,58</w:t>
            </w:r>
          </w:p>
        </w:tc>
      </w:tr>
    </w:tbl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Źródło: opracowanie własne.</w:t>
      </w:r>
    </w:p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Od 2025 r. nie dokonywano zmian w zakresie planowanych dochodów i wydatków budżetowych.</w:t>
      </w:r>
    </w:p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W Wieloletniej Prognozie Finansowej Gminy Czerniejewo:</w:t>
      </w:r>
    </w:p>
    <w:p w:rsidR="00F94DBA" w:rsidRPr="00F94DBA" w:rsidRDefault="00F94DBA" w:rsidP="00F94D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Przychody ogółem w roku budżetowym nie uległy zmianie.</w:t>
      </w:r>
    </w:p>
    <w:p w:rsidR="00F94DBA" w:rsidRPr="00F94DBA" w:rsidRDefault="00F94DBA" w:rsidP="00F94D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lastRenderedPageBreak/>
        <w:t>Rozchody ogółem w roku budżetowym nie uległy zmianie.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Od 2025 nie dokonywano zmian w zakresie planowanych przychodów.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Od 2025 nie dokonywano zmian w zakresie planowanych rozchodów.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W zakresie zawartych umów, rozchody Gminy Czerniejewo zaplanowano zgodnie z harmonogramami. W tabeli poniżej spłatę ww. zobowiązań przedstawiono w kolumnie „Zobowiązanie historyczne”.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Spłatę zobowiązania planowanego do zaciągnięcia ujęto w latach 2025-2033. W tabeli poniżej spłatę ww. zobowiązań przedstawiono w kolumnie „Zobowiązanie planowane”.</w:t>
      </w:r>
    </w:p>
    <w:p w:rsidR="00F94DBA" w:rsidRPr="00F94DBA" w:rsidRDefault="00F94DBA" w:rsidP="00F94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DBA">
        <w:rPr>
          <w:rFonts w:ascii="Times New Roman" w:hAnsi="Times New Roman" w:cs="Times New Roman"/>
          <w:b/>
          <w:bCs/>
          <w:sz w:val="24"/>
          <w:szCs w:val="24"/>
        </w:rPr>
        <w:t>Tabela 2. 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F94DBA" w:rsidRPr="00F94DBA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Zobowiązania razem [zł]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738 460,00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738 460,00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484 633,00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1 084 633,00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754 237,89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1 354 237,89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F94DBA" w:rsidRPr="00F94DB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638 547,20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638 547,20</w:t>
            </w:r>
          </w:p>
        </w:tc>
      </w:tr>
    </w:tbl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Źródło: Opracowanie własne.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Zmiany w Wieloletniej Prognozie Finansowej Gminy Czerniejewo na lata 2024-2033 spowodowały modyfikacje w kształtowaniu się relacji z art. 243 ustawy o finansach publicznych. Szczegóły zaprezentowano w tabeli poniżej.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DBA">
        <w:rPr>
          <w:rFonts w:ascii="Times New Roman" w:hAnsi="Times New Roman" w:cs="Times New Roman"/>
          <w:b/>
          <w:bCs/>
          <w:sz w:val="24"/>
          <w:szCs w:val="24"/>
        </w:rPr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F94DBA" w:rsidRPr="00F94DBA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Obsługa zadłużenia (fakt. i plan. po </w:t>
            </w:r>
            <w:proofErr w:type="spellStart"/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wyłączeniach</w:t>
            </w:r>
            <w:proofErr w:type="spellEnd"/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Zachowanie relacji z art. 243 (w oparciu o wykonanie)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4,26%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14,58%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14,04%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4,66%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9,11%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2,33%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7,77%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8,17%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2,22%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6,83%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7,23%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2,11%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5,90%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2,01%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5,02%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5,42%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1,90%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5,38%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5,38%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94DBA" w:rsidRPr="00F94DB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Źródło: Opracowanie własne.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30.09.2023 r. jak i w oparciu o dane z wykonania budżetu.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Zmiana Wieloletniej Prognozy Finansowej Gminy Czerniejewo obejmuje również zmiany w załączniku nr 2, które szczegółowo opisano poniżej.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Do załącznika nr 2 dodano następujące przedsięwzięcia:</w:t>
      </w:r>
    </w:p>
    <w:p w:rsidR="00F94DBA" w:rsidRPr="00F94DBA" w:rsidRDefault="00F94DBA" w:rsidP="00F94DB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Wsparcie rozwoju edukacji w Miejskim Obszarze Funkc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94DBA">
        <w:rPr>
          <w:rFonts w:ascii="Times New Roman" w:hAnsi="Times New Roman" w:cs="Times New Roman"/>
          <w:sz w:val="24"/>
          <w:szCs w:val="24"/>
        </w:rPr>
        <w:t>onalnym Gniezna – zadanie bieżące, które ma być realizowane w latach 2024-2027. Łączne nakłady planowane na realizację zadania wynoszą 85 739,00 zł, w tym w 2024 r. ‒ 0,00 zł. Limit zobowiązań dla zadania wynosi 0,00 zł. Jednostką realizującą jest Urząd Miasta i Gminy Czerniejewo.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:rsidR="00F94DBA" w:rsidRPr="00F94DBA" w:rsidRDefault="00F94DBA" w:rsidP="00F94D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:rsidR="00F94DBA" w:rsidRPr="00F94DBA" w:rsidRDefault="00F94DBA" w:rsidP="00F94DBA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Opracowanie Strategii rozwoju gminy Czerniejewo na lata 2024 - 2030 – zmiana w przedsięwzięciu obejmuje m.in.:</w:t>
      </w:r>
    </w:p>
    <w:p w:rsidR="00F94DBA" w:rsidRPr="00F94DBA" w:rsidRDefault="00F94DBA" w:rsidP="00F94DBA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lastRenderedPageBreak/>
        <w:t>zwiększenie łącznych nakładów ogółem oraz limitu wydatków na realizację zadania w roku budżetowym o kwotę 10 000,00 zł;</w:t>
      </w:r>
    </w:p>
    <w:p w:rsidR="00F94DBA" w:rsidRPr="00F94DBA" w:rsidRDefault="00F94DBA" w:rsidP="00F94DBA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Budowa i podstawowe wyposażenie Ośrodka Zdrowia w Czerniejewie – zmiana w przedsięwzięciu obejmuje m.in.:</w:t>
      </w:r>
    </w:p>
    <w:p w:rsidR="00F94DBA" w:rsidRPr="00F94DBA" w:rsidRDefault="00F94DBA" w:rsidP="00F94DBA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zwiększenie łącznych nakładów ogółem oraz limitu wydatków na realizację zadania w roku budżetowym o kwotę 62 595,00 zł.</w:t>
      </w:r>
    </w:p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:rsidR="00F94DBA" w:rsidRPr="00F94DBA" w:rsidRDefault="00F94DBA" w:rsidP="00F94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DBA">
        <w:rPr>
          <w:rFonts w:ascii="Times New Roman" w:hAnsi="Times New Roman" w:cs="Times New Roman"/>
          <w:b/>
          <w:bCs/>
          <w:sz w:val="24"/>
          <w:szCs w:val="24"/>
        </w:rPr>
        <w:t>Tabela 4.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94DBA" w:rsidRPr="00F94DB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zmianie [zł]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184 967,84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+29 620,00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214 587,84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97 437,84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+29 620,00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127 057,84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2 450,76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+26 499,00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28 949,76</w:t>
            </w:r>
          </w:p>
        </w:tc>
      </w:tr>
    </w:tbl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Źródło: opracowanie własne.</w:t>
      </w:r>
    </w:p>
    <w:p w:rsidR="00F94DBA" w:rsidRPr="00F94DBA" w:rsidRDefault="00F94DBA" w:rsidP="00F94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DBA">
        <w:rPr>
          <w:rFonts w:ascii="Times New Roman" w:hAnsi="Times New Roman" w:cs="Times New Roman"/>
          <w:b/>
          <w:bCs/>
          <w:sz w:val="24"/>
          <w:szCs w:val="24"/>
        </w:rPr>
        <w:t>Tabela 5.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94DBA" w:rsidRPr="00F94DB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zmianie [zł]</w:t>
            </w:r>
          </w:p>
        </w:tc>
      </w:tr>
      <w:tr w:rsidR="00F94DBA" w:rsidRPr="00F94D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4 678 393,66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+72 595,00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BA" w:rsidRPr="00F94DBA" w:rsidRDefault="00F94DBA" w:rsidP="00F94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A">
              <w:rPr>
                <w:rFonts w:ascii="Times New Roman" w:hAnsi="Times New Roman" w:cs="Times New Roman"/>
                <w:sz w:val="24"/>
                <w:szCs w:val="24"/>
              </w:rPr>
              <w:t>4 750 988,66</w:t>
            </w:r>
          </w:p>
        </w:tc>
      </w:tr>
    </w:tbl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Źródło: opracowanie własne.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F94DBA" w:rsidRPr="00F94DBA" w:rsidRDefault="00F94DBA" w:rsidP="00F94D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BA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:rsidR="00F94DBA" w:rsidRPr="00F94DBA" w:rsidRDefault="00F94DBA" w:rsidP="00F94DBA">
      <w:pPr>
        <w:rPr>
          <w:rFonts w:ascii="Times New Roman" w:hAnsi="Times New Roman" w:cs="Times New Roman"/>
          <w:sz w:val="24"/>
          <w:szCs w:val="24"/>
        </w:rPr>
      </w:pPr>
    </w:p>
    <w:p w:rsidR="00E01AAA" w:rsidRDefault="00E01AAA"/>
    <w:sectPr w:rsidR="00E01AAA" w:rsidSect="00F94DB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042902673">
    <w:abstractNumId w:val="0"/>
  </w:num>
  <w:num w:numId="2" w16cid:durableId="1122109562">
    <w:abstractNumId w:val="1"/>
  </w:num>
  <w:num w:numId="3" w16cid:durableId="1369259770">
    <w:abstractNumId w:val="2"/>
  </w:num>
  <w:num w:numId="4" w16cid:durableId="76580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BA"/>
    <w:rsid w:val="0046314C"/>
    <w:rsid w:val="00BD3ECE"/>
    <w:rsid w:val="00E01AAA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F6A6"/>
  <w15:chartTrackingRefBased/>
  <w15:docId w15:val="{E86050D7-33DC-4557-9C64-3A387722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2024-09-18T11:12:00Z</dcterms:created>
  <dcterms:modified xsi:type="dcterms:W3CDTF">2024-09-18T11:15:00Z</dcterms:modified>
</cp:coreProperties>
</file>