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Czerniejewo na lata 2024-2033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Zgodnie ze zmianami w budżecie na dzień 26 czerwca 2024 r., dokonano następujących zmian w Wieloletniej Prognozie Finansowej Gminy Czerniejewo:</w:t>
      </w:r>
    </w:p>
    <w:p w:rsidR="00361B34" w:rsidRPr="00361B34" w:rsidRDefault="00361B34" w:rsidP="00361B3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Dochody ogółem zwiększono o 1 010 228,31 zł, z czego dochody bieżące zwiększono o 160 516,31 zł, a dochody majątkowe zwiększono o 849 712,00 zł.</w:t>
      </w:r>
    </w:p>
    <w:p w:rsidR="00361B34" w:rsidRPr="00361B34" w:rsidRDefault="00361B34" w:rsidP="00361B3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Wydatki ogółem zwiększono o 954 448,31 zł, z czego wydatki bieżące zwiększono o 110 567,49 zł, a wydatki majątkowe zwiększono o 843 880,82 zł.</w:t>
      </w:r>
    </w:p>
    <w:p w:rsidR="00361B34" w:rsidRPr="00361B34" w:rsidRDefault="00361B34" w:rsidP="00361B3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Wynik budżetu jest deficytowy i po zmianach wynosi -6 290 114,59 zł.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53 627 201,84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+1 010 228,31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54 637 430,15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42 237 096,83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+160 516,31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42 397 613,14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5 800 700,99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+146 016,31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5 946 717,30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11 955 354,84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+14 500,00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11 969 854,84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11 390 105,01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+849 712,00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12 239 817,01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59 973 096,43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+954 448,31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60 927 544,74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42 053 139,29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+110 567,49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42 163 706,78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22 886 115,46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+12 371,54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22 898 487,00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19 037 023,83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+98 195,95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19 135 219,78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17 919 957,14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+843 880,82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18 763 837,96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-6 345 894,59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+55 780,00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-6 290 114,59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 okresie prognozy WPF dokonano zmian w zakresie planowanych dochodów majątkowych. Zmiany przedstawiono w tabeli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2.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4 677 494,95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+4 789 305,70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9 466 800,65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 okresie prognozy WPF dokonano zmian w zakresie planowanych wydatków majątkowych. Zmiany przedstawiono w tabeli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4 688 345,00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+4 789 305,70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9 477 650,70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 Wieloletniej Prognozie Finansowej Gminy Czerniejewo:</w:t>
      </w:r>
    </w:p>
    <w:p w:rsidR="00361B34" w:rsidRPr="00361B34" w:rsidRDefault="00361B34" w:rsidP="00361B34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Przychody ogółem w roku budżetowym zmniejszono o 55 780,00 zł i po zmianach wynoszą 7 028 574,59 zł.</w:t>
      </w:r>
    </w:p>
    <w:p w:rsidR="00361B34" w:rsidRPr="00361B34" w:rsidRDefault="00361B34" w:rsidP="00361B34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4.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7 084 354,59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-55 780,00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7 028 574,59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92 207,61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-55 780,00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36 427,61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 zakresie zawartych umów, rozchody Gminy Czerniejewo zaplanowano zgodnie z harmonogramami. W tabeli poniżej spłatę ww. zobowiązań przedstawiono w kolumnie „Zobowiązanie historyczne”.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5.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361B34" w:rsidRPr="00361B34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738 460,00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1 084 633,00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1 354 237,89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361B34" w:rsidRPr="00361B3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936 864,73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6.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361B34" w:rsidRPr="00361B34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2,38%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4,62%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14,76%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14,23%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5,02%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8,70%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9,10%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2,59%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8,15%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7,22%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5,36%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361B34" w:rsidRPr="00361B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2,53%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Zmiana Wieloletniej Prognozy Finansowej Gminy Czerniejewo obejmuje również zmiany w załączniku nr 2, które szczegółowo opisano poniżej.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lastRenderedPageBreak/>
        <w:t>Do załącznika nr 2 dodano następujące przedsięwzięcia:</w:t>
      </w:r>
    </w:p>
    <w:p w:rsidR="00361B34" w:rsidRPr="00361B34" w:rsidRDefault="00361B34" w:rsidP="00361B34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Budowa ścieżek rowerowych w Gminie Czerniejewo w ramach FEWP działanie 3.2 - wkład własny – zadanie majątkowe, które ma być realizowane w latach 2024-2025. Łączne nakłady planowane na realizację zadania wynoszą 1 560 000,00 zł, w tym w 2024 r. ‒ 60 000,00 zł. Limit zobowiązań dla zadania wynosi 0,00 zł. Jednostką realizującą jest Urząd Miasta i Gminy Czerniejewo.</w:t>
      </w:r>
    </w:p>
    <w:p w:rsidR="00361B34" w:rsidRPr="00361B34" w:rsidRDefault="00361B34" w:rsidP="00361B34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Realizacja programu priorytetowego "Ciepłe mieszkanie" edycja II – zadanie majątkowe, które ma być realizowane w latach 2024-2025. Łączne nakłady planowane na realizację zadania wynoszą 2 152 500,00 zł, w tym w 2024 r. ‒ 741 500,00 zł. Limit zobowiązań dla zadania wynosi 0,00 zł. Jednostką realizującą jest Urząd Miasta i Gminy Czerniejewo.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:rsidR="00361B34" w:rsidRPr="00361B34" w:rsidRDefault="00361B34" w:rsidP="00361B34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:rsidR="00361B34" w:rsidRPr="00361B34" w:rsidRDefault="00361B34" w:rsidP="00361B34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Dostęp na korzystanie z serwisu on-line o nazwie "LEX" (Wolters Kluwer Polska" sp. z o.o.) - kontynuacja licencji – zmiana w przedsięwzięciu obejmuje m.in.: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łącznych nakładów na realizację zadania o kwotę 29 409,12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7 352,28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limitu wydatków na realizację zadania w latach 2025-2027 o kwotę 22 056,84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wydłużenie horyzontu czasowego przedsięwzięcia do roku 2027;</w:t>
      </w:r>
    </w:p>
    <w:p w:rsidR="00361B34" w:rsidRPr="00361B34" w:rsidRDefault="00361B34" w:rsidP="00361B34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 xml:space="preserve">Usługa </w:t>
      </w:r>
      <w:proofErr w:type="spellStart"/>
      <w:r w:rsidRPr="00361B34">
        <w:rPr>
          <w:rFonts w:ascii="Arial" w:hAnsi="Arial" w:cs="Arial"/>
          <w:kern w:val="0"/>
          <w:sz w:val="20"/>
          <w:szCs w:val="20"/>
        </w:rPr>
        <w:t>eGmina</w:t>
      </w:r>
      <w:proofErr w:type="spellEnd"/>
      <w:r w:rsidRPr="00361B34">
        <w:rPr>
          <w:rFonts w:ascii="Arial" w:hAnsi="Arial" w:cs="Arial"/>
          <w:kern w:val="0"/>
          <w:sz w:val="20"/>
          <w:szCs w:val="20"/>
        </w:rPr>
        <w:t xml:space="preserve"> z modułami </w:t>
      </w:r>
      <w:proofErr w:type="spellStart"/>
      <w:r w:rsidRPr="00361B34">
        <w:rPr>
          <w:rFonts w:ascii="Arial" w:hAnsi="Arial" w:cs="Arial"/>
          <w:kern w:val="0"/>
          <w:sz w:val="20"/>
          <w:szCs w:val="20"/>
        </w:rPr>
        <w:t>iMPA</w:t>
      </w:r>
      <w:proofErr w:type="spellEnd"/>
      <w:r w:rsidRPr="00361B34">
        <w:rPr>
          <w:rFonts w:ascii="Arial" w:hAnsi="Arial" w:cs="Arial"/>
          <w:kern w:val="0"/>
          <w:sz w:val="20"/>
          <w:szCs w:val="20"/>
        </w:rPr>
        <w:t xml:space="preserve"> i IMPZP (Wykonawca - Przedsiębiorstwo Usługowo-</w:t>
      </w:r>
      <w:proofErr w:type="spellStart"/>
      <w:r w:rsidRPr="00361B34">
        <w:rPr>
          <w:rFonts w:ascii="Arial" w:hAnsi="Arial" w:cs="Arial"/>
          <w:kern w:val="0"/>
          <w:sz w:val="20"/>
          <w:szCs w:val="20"/>
        </w:rPr>
        <w:t>Hadlowe</w:t>
      </w:r>
      <w:proofErr w:type="spellEnd"/>
      <w:r w:rsidRPr="00361B34">
        <w:rPr>
          <w:rFonts w:ascii="Arial" w:hAnsi="Arial" w:cs="Arial"/>
          <w:kern w:val="0"/>
          <w:sz w:val="20"/>
          <w:szCs w:val="20"/>
        </w:rPr>
        <w:t xml:space="preserve"> GEO-SYSTEM Sp. z o.o. Warszawa) - kontynuacja licencji – zmiana w przedsięwzięciu obejmuje m.in.: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łącznych nakładów na realizację zadania o kwotę 10 332,00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3 444,00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limitu wydatków na realizację zadania w latach 2025-2027 o kwotę 6 888,00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wydłużenie horyzontu czasowego przedsięwzięcia do roku 2027;</w:t>
      </w:r>
    </w:p>
    <w:p w:rsidR="00361B34" w:rsidRPr="00361B34" w:rsidRDefault="00361B34" w:rsidP="00361B34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 xml:space="preserve">Realizacja </w:t>
      </w:r>
      <w:proofErr w:type="spellStart"/>
      <w:r w:rsidRPr="00361B34">
        <w:rPr>
          <w:rFonts w:ascii="Arial" w:hAnsi="Arial" w:cs="Arial"/>
          <w:kern w:val="0"/>
          <w:sz w:val="20"/>
          <w:szCs w:val="20"/>
        </w:rPr>
        <w:t>prgramu</w:t>
      </w:r>
      <w:proofErr w:type="spellEnd"/>
      <w:r w:rsidRPr="00361B3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361B34">
        <w:rPr>
          <w:rFonts w:ascii="Arial" w:hAnsi="Arial" w:cs="Arial"/>
          <w:kern w:val="0"/>
          <w:sz w:val="20"/>
          <w:szCs w:val="20"/>
        </w:rPr>
        <w:t>priorytetowgo</w:t>
      </w:r>
      <w:proofErr w:type="spellEnd"/>
      <w:r w:rsidRPr="00361B34">
        <w:rPr>
          <w:rFonts w:ascii="Arial" w:hAnsi="Arial" w:cs="Arial"/>
          <w:kern w:val="0"/>
          <w:sz w:val="20"/>
          <w:szCs w:val="20"/>
        </w:rPr>
        <w:t xml:space="preserve"> "Ciepłe mieszkanie" – zmiana w przedsięwzięciu obejmuje m.in.: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99 413,36 zł;</w:t>
      </w:r>
    </w:p>
    <w:p w:rsidR="00361B34" w:rsidRPr="00361B34" w:rsidRDefault="00361B34" w:rsidP="00361B3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zmniejszenie limitu wydatków na realizację zadania w roku 2025 o kwotę 99 413,36 zł;</w:t>
      </w:r>
    </w:p>
    <w:p w:rsidR="00361B34" w:rsidRPr="00361B34" w:rsidRDefault="00361B34" w:rsidP="00361B34">
      <w:pPr>
        <w:tabs>
          <w:tab w:val="left" w:pos="1701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1701"/>
        <w:rPr>
          <w:rFonts w:ascii="Arial" w:hAnsi="Arial" w:cs="Arial"/>
          <w:kern w:val="0"/>
          <w:sz w:val="20"/>
          <w:szCs w:val="20"/>
        </w:rPr>
      </w:pP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7.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175 785,59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+10 796,28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186 581,87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3 040,80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+13 247,04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16 287,84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3 040,80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+13 247,04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16 287,84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+2 450,76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2 450,76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361B34">
        <w:rPr>
          <w:rFonts w:ascii="Arial" w:hAnsi="Arial" w:cs="Arial"/>
          <w:b/>
          <w:bCs/>
          <w:kern w:val="0"/>
          <w:sz w:val="20"/>
          <w:szCs w:val="20"/>
        </w:rPr>
        <w:t>Tabela 8.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61B34" w:rsidRPr="00361B3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3 777 480,30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+900 913,36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4 678 393,66</w:t>
            </w:r>
          </w:p>
        </w:tc>
      </w:tr>
      <w:tr w:rsidR="00361B34" w:rsidRPr="00361B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3 981 305,70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+2 811 586,64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34" w:rsidRPr="00361B34" w:rsidRDefault="00361B34" w:rsidP="00361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1B34">
              <w:rPr>
                <w:rFonts w:ascii="Arial" w:hAnsi="Arial" w:cs="Arial"/>
                <w:kern w:val="0"/>
                <w:sz w:val="20"/>
                <w:szCs w:val="20"/>
              </w:rPr>
              <w:t>6 792 892,34</w:t>
            </w:r>
          </w:p>
        </w:tc>
      </w:tr>
    </w:tbl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361B34" w:rsidRPr="00361B34" w:rsidRDefault="00361B34" w:rsidP="0036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61B34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:rsidR="00361B34" w:rsidRPr="00361B34" w:rsidRDefault="00361B34" w:rsidP="00361B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:rsidR="00E01AAA" w:rsidRDefault="00E01AAA"/>
    <w:sectPr w:rsidR="00E01AAA" w:rsidSect="00361B3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497968313">
    <w:abstractNumId w:val="0"/>
  </w:num>
  <w:num w:numId="2" w16cid:durableId="1326201693">
    <w:abstractNumId w:val="1"/>
  </w:num>
  <w:num w:numId="3" w16cid:durableId="698895691">
    <w:abstractNumId w:val="2"/>
  </w:num>
  <w:num w:numId="4" w16cid:durableId="20036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34"/>
    <w:rsid w:val="00301D31"/>
    <w:rsid w:val="00361B34"/>
    <w:rsid w:val="0046314C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58D4-1ACC-41FB-8573-E3642A6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361B3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TekstPublink">
    <w:name w:val="Tekst (Publink)"/>
    <w:basedOn w:val="Normalny"/>
    <w:uiPriority w:val="99"/>
    <w:rsid w:val="00361B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361B34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361B34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361B34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361B34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361B34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361B34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2024-06-18T11:12:00Z</dcterms:created>
  <dcterms:modified xsi:type="dcterms:W3CDTF">2024-06-18T11:12:00Z</dcterms:modified>
</cp:coreProperties>
</file>